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2CF4">
      <w:pPr>
        <w:spacing w:before="101" w:line="228" w:lineRule="auto"/>
        <w:ind w:left="44"/>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hint="eastAsia" w:ascii="黑体" w:hAnsi="黑体" w:cs="黑体"/>
          <w:spacing w:val="-4"/>
          <w:sz w:val="31"/>
          <w:szCs w:val="31"/>
          <w:lang w:val="en-US" w:eastAsia="zh-CN"/>
        </w:rPr>
        <w:t>1</w:t>
      </w:r>
    </w:p>
    <w:p w14:paraId="7ADB0C69">
      <w:pPr>
        <w:keepNext w:val="0"/>
        <w:keepLines w:val="0"/>
        <w:pageBreakBefore w:val="0"/>
        <w:kinsoku/>
        <w:wordWrap/>
        <w:topLinePunct w:val="0"/>
        <w:bidi w:val="0"/>
        <w:spacing w:line="277" w:lineRule="auto"/>
        <w:rPr>
          <w:rFonts w:hint="default" w:ascii="Times New Roman" w:hAnsi="Times New Roman" w:cs="Times New Roman"/>
          <w:color w:val="auto"/>
          <w:sz w:val="21"/>
        </w:rPr>
      </w:pPr>
    </w:p>
    <w:p w14:paraId="2EB7095F">
      <w:pPr>
        <w:keepNext w:val="0"/>
        <w:keepLines w:val="0"/>
        <w:pageBreakBefore w:val="0"/>
        <w:kinsoku/>
        <w:wordWrap/>
        <w:topLinePunct w:val="0"/>
        <w:bidi w:val="0"/>
        <w:spacing w:line="1437" w:lineRule="exact"/>
        <w:ind w:firstLine="14"/>
        <w:rPr>
          <w:rFonts w:hint="default" w:ascii="Times New Roman" w:hAnsi="Times New Roman" w:cs="Times New Roman"/>
          <w:color w:val="auto"/>
        </w:rPr>
      </w:pPr>
      <w:r>
        <w:rPr>
          <w:rFonts w:hint="default" w:ascii="Times New Roman" w:hAnsi="Times New Roman" w:cs="Times New Roman"/>
          <w:color w:val="auto"/>
          <w:position w:val="-28"/>
        </w:rPr>
        <w:drawing>
          <wp:inline distT="0" distB="0" distL="0" distR="0">
            <wp:extent cx="2834640" cy="912495"/>
            <wp:effectExtent l="0" t="0" r="0" b="190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834640" cy="912876"/>
                    </a:xfrm>
                    <a:prstGeom prst="rect">
                      <a:avLst/>
                    </a:prstGeom>
                  </pic:spPr>
                </pic:pic>
              </a:graphicData>
            </a:graphic>
          </wp:inline>
        </w:drawing>
      </w:r>
    </w:p>
    <w:p w14:paraId="56802DAF">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3A613A55">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7DC88D50">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4B2A481F">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51DD49FC">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1CDAEDA2">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3A201E1F">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5EC701D0">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6E8B6932">
      <w:pPr>
        <w:keepNext w:val="0"/>
        <w:keepLines w:val="0"/>
        <w:pageBreakBefore w:val="0"/>
        <w:kinsoku/>
        <w:wordWrap/>
        <w:topLinePunct w:val="0"/>
        <w:bidi w:val="0"/>
        <w:spacing w:line="246" w:lineRule="auto"/>
        <w:rPr>
          <w:rFonts w:hint="default" w:ascii="Times New Roman" w:hAnsi="Times New Roman" w:cs="Times New Roman"/>
          <w:color w:val="auto"/>
          <w:sz w:val="21"/>
        </w:rPr>
      </w:pPr>
    </w:p>
    <w:p w14:paraId="2CB92570">
      <w:pPr>
        <w:keepNext w:val="0"/>
        <w:keepLines w:val="0"/>
        <w:pageBreakBefore w:val="0"/>
        <w:kinsoku/>
        <w:wordWrap/>
        <w:topLinePunct w:val="0"/>
        <w:bidi w:val="0"/>
        <w:spacing w:before="152" w:line="225" w:lineRule="auto"/>
        <w:jc w:val="center"/>
        <w:rPr>
          <w:rFonts w:hint="default" w:ascii="Times New Roman" w:hAnsi="Times New Roman" w:eastAsia="黑体" w:cs="Times New Roman"/>
          <w:color w:val="auto"/>
          <w:sz w:val="47"/>
          <w:szCs w:val="47"/>
        </w:rPr>
      </w:pPr>
      <w:r>
        <w:rPr>
          <w:rFonts w:hint="default" w:ascii="Times New Roman" w:hAnsi="Times New Roman" w:eastAsia="黑体" w:cs="Times New Roman"/>
          <w:b/>
          <w:bCs/>
          <w:color w:val="auto"/>
          <w:sz w:val="47"/>
          <w:szCs w:val="47"/>
          <w:lang w:val="en-US" w:eastAsia="zh-CN"/>
        </w:rPr>
        <w:t>口腔医学</w:t>
      </w:r>
      <w:r>
        <w:rPr>
          <w:rFonts w:hint="default" w:ascii="Times New Roman" w:hAnsi="Times New Roman" w:eastAsia="黑体" w:cs="Times New Roman"/>
          <w:b/>
          <w:bCs/>
          <w:color w:val="auto"/>
          <w:spacing w:val="2"/>
          <w:sz w:val="47"/>
          <w:szCs w:val="47"/>
        </w:rPr>
        <w:t>专业人才培养方案</w:t>
      </w:r>
    </w:p>
    <w:p w14:paraId="23BE080B">
      <w:pPr>
        <w:keepNext w:val="0"/>
        <w:keepLines w:val="0"/>
        <w:pageBreakBefore w:val="0"/>
        <w:kinsoku/>
        <w:wordWrap/>
        <w:topLinePunct w:val="0"/>
        <w:bidi w:val="0"/>
        <w:spacing w:line="283" w:lineRule="auto"/>
        <w:rPr>
          <w:rFonts w:hint="default" w:ascii="Times New Roman" w:hAnsi="Times New Roman" w:cs="Times New Roman"/>
          <w:color w:val="auto"/>
          <w:sz w:val="21"/>
        </w:rPr>
      </w:pPr>
    </w:p>
    <w:p w14:paraId="29735C4E">
      <w:pPr>
        <w:keepNext w:val="0"/>
        <w:keepLines w:val="0"/>
        <w:pageBreakBefore w:val="0"/>
        <w:kinsoku/>
        <w:wordWrap/>
        <w:topLinePunct w:val="0"/>
        <w:bidi w:val="0"/>
        <w:spacing w:line="283" w:lineRule="auto"/>
        <w:rPr>
          <w:rFonts w:hint="default" w:ascii="Times New Roman" w:hAnsi="Times New Roman" w:cs="Times New Roman"/>
          <w:color w:val="auto"/>
          <w:sz w:val="21"/>
        </w:rPr>
      </w:pPr>
    </w:p>
    <w:p w14:paraId="51FFCA33">
      <w:pPr>
        <w:keepNext w:val="0"/>
        <w:keepLines w:val="0"/>
        <w:pageBreakBefore w:val="0"/>
        <w:kinsoku/>
        <w:wordWrap/>
        <w:topLinePunct w:val="0"/>
        <w:bidi w:val="0"/>
        <w:spacing w:line="284" w:lineRule="auto"/>
        <w:rPr>
          <w:rFonts w:hint="default" w:ascii="Times New Roman" w:hAnsi="Times New Roman" w:cs="Times New Roman"/>
          <w:color w:val="auto"/>
          <w:sz w:val="21"/>
        </w:rPr>
      </w:pPr>
    </w:p>
    <w:p w14:paraId="73B81BC5">
      <w:pPr>
        <w:keepNext w:val="0"/>
        <w:keepLines w:val="0"/>
        <w:pageBreakBefore w:val="0"/>
        <w:kinsoku/>
        <w:wordWrap/>
        <w:topLinePunct w:val="0"/>
        <w:bidi w:val="0"/>
        <w:spacing w:line="284" w:lineRule="auto"/>
        <w:rPr>
          <w:rFonts w:hint="default" w:ascii="Times New Roman" w:hAnsi="Times New Roman" w:cs="Times New Roman"/>
          <w:color w:val="auto"/>
          <w:sz w:val="21"/>
        </w:rPr>
      </w:pPr>
    </w:p>
    <w:p w14:paraId="5117AE45">
      <w:pPr>
        <w:keepNext w:val="0"/>
        <w:keepLines w:val="0"/>
        <w:pageBreakBefore w:val="0"/>
        <w:kinsoku/>
        <w:wordWrap/>
        <w:topLinePunct w:val="0"/>
        <w:bidi w:val="0"/>
        <w:spacing w:before="153" w:line="225" w:lineRule="auto"/>
        <w:ind w:left="2954"/>
        <w:rPr>
          <w:rFonts w:hint="default" w:ascii="Times New Roman" w:hAnsi="Times New Roman" w:eastAsia="黑体" w:cs="Times New Roman"/>
          <w:color w:val="auto"/>
          <w:sz w:val="47"/>
          <w:szCs w:val="47"/>
        </w:rPr>
      </w:pPr>
      <w:r>
        <w:rPr>
          <w:rFonts w:hint="default" w:ascii="Times New Roman" w:hAnsi="Times New Roman" w:eastAsia="黑体" w:cs="Times New Roman"/>
          <w:b/>
          <w:bCs/>
          <w:color w:val="auto"/>
          <w:spacing w:val="-10"/>
          <w:sz w:val="47"/>
          <w:szCs w:val="47"/>
        </w:rPr>
        <w:t>（202</w:t>
      </w:r>
      <w:r>
        <w:rPr>
          <w:rFonts w:hint="default" w:ascii="Times New Roman" w:hAnsi="Times New Roman" w:eastAsia="黑体" w:cs="Times New Roman"/>
          <w:b/>
          <w:bCs/>
          <w:color w:val="auto"/>
          <w:spacing w:val="-10"/>
          <w:sz w:val="47"/>
          <w:szCs w:val="47"/>
          <w:lang w:val="en-US" w:eastAsia="zh-CN"/>
        </w:rPr>
        <w:t>6</w:t>
      </w:r>
      <w:r>
        <w:rPr>
          <w:rFonts w:hint="default" w:ascii="Times New Roman" w:hAnsi="Times New Roman" w:eastAsia="黑体" w:cs="Times New Roman"/>
          <w:color w:val="auto"/>
          <w:spacing w:val="-87"/>
          <w:sz w:val="47"/>
          <w:szCs w:val="47"/>
        </w:rPr>
        <w:t xml:space="preserve"> </w:t>
      </w:r>
      <w:r>
        <w:rPr>
          <w:rFonts w:hint="default" w:ascii="Times New Roman" w:hAnsi="Times New Roman" w:eastAsia="黑体" w:cs="Times New Roman"/>
          <w:b/>
          <w:bCs/>
          <w:color w:val="auto"/>
          <w:spacing w:val="-10"/>
          <w:sz w:val="47"/>
          <w:szCs w:val="47"/>
        </w:rPr>
        <w:t>级）</w:t>
      </w:r>
    </w:p>
    <w:p w14:paraId="00FFDE0A">
      <w:pPr>
        <w:keepNext w:val="0"/>
        <w:keepLines w:val="0"/>
        <w:pageBreakBefore w:val="0"/>
        <w:kinsoku/>
        <w:wordWrap/>
        <w:topLinePunct w:val="0"/>
        <w:bidi w:val="0"/>
        <w:spacing w:line="244" w:lineRule="auto"/>
        <w:rPr>
          <w:rFonts w:hint="default" w:ascii="Times New Roman" w:hAnsi="Times New Roman" w:cs="Times New Roman"/>
          <w:color w:val="auto"/>
          <w:sz w:val="21"/>
        </w:rPr>
      </w:pPr>
    </w:p>
    <w:p w14:paraId="14201E0B">
      <w:pPr>
        <w:keepNext w:val="0"/>
        <w:keepLines w:val="0"/>
        <w:pageBreakBefore w:val="0"/>
        <w:kinsoku/>
        <w:wordWrap/>
        <w:topLinePunct w:val="0"/>
        <w:bidi w:val="0"/>
        <w:spacing w:line="244" w:lineRule="auto"/>
        <w:rPr>
          <w:rFonts w:hint="default" w:ascii="Times New Roman" w:hAnsi="Times New Roman" w:cs="Times New Roman"/>
          <w:color w:val="auto"/>
          <w:sz w:val="21"/>
        </w:rPr>
      </w:pPr>
    </w:p>
    <w:p w14:paraId="7D4CC6D2">
      <w:pPr>
        <w:keepNext w:val="0"/>
        <w:keepLines w:val="0"/>
        <w:pageBreakBefore w:val="0"/>
        <w:kinsoku/>
        <w:wordWrap/>
        <w:topLinePunct w:val="0"/>
        <w:bidi w:val="0"/>
        <w:spacing w:line="244" w:lineRule="auto"/>
        <w:rPr>
          <w:rFonts w:hint="default" w:ascii="Times New Roman" w:hAnsi="Times New Roman" w:cs="Times New Roman"/>
          <w:color w:val="auto"/>
          <w:sz w:val="21"/>
        </w:rPr>
      </w:pPr>
    </w:p>
    <w:p w14:paraId="522DDA55">
      <w:pPr>
        <w:keepNext w:val="0"/>
        <w:keepLines w:val="0"/>
        <w:pageBreakBefore w:val="0"/>
        <w:kinsoku/>
        <w:wordWrap/>
        <w:topLinePunct w:val="0"/>
        <w:bidi w:val="0"/>
        <w:spacing w:line="244" w:lineRule="auto"/>
        <w:rPr>
          <w:rFonts w:hint="default" w:ascii="Times New Roman" w:hAnsi="Times New Roman" w:cs="Times New Roman"/>
          <w:color w:val="auto"/>
          <w:sz w:val="21"/>
        </w:rPr>
      </w:pPr>
    </w:p>
    <w:p w14:paraId="7F4E9B36">
      <w:pPr>
        <w:keepNext w:val="0"/>
        <w:keepLines w:val="0"/>
        <w:pageBreakBefore w:val="0"/>
        <w:kinsoku/>
        <w:wordWrap/>
        <w:topLinePunct w:val="0"/>
        <w:bidi w:val="0"/>
        <w:spacing w:line="244" w:lineRule="auto"/>
        <w:rPr>
          <w:rFonts w:hint="default" w:ascii="Times New Roman" w:hAnsi="Times New Roman" w:cs="Times New Roman"/>
          <w:color w:val="auto"/>
          <w:sz w:val="21"/>
        </w:rPr>
      </w:pPr>
    </w:p>
    <w:p w14:paraId="7F672C10">
      <w:pPr>
        <w:keepNext w:val="0"/>
        <w:keepLines w:val="0"/>
        <w:pageBreakBefore w:val="0"/>
        <w:kinsoku/>
        <w:wordWrap/>
        <w:topLinePunct w:val="0"/>
        <w:bidi w:val="0"/>
        <w:spacing w:line="244" w:lineRule="auto"/>
        <w:rPr>
          <w:rFonts w:hint="default" w:ascii="Times New Roman" w:hAnsi="Times New Roman" w:cs="Times New Roman"/>
          <w:color w:val="auto"/>
          <w:sz w:val="21"/>
        </w:rPr>
      </w:pPr>
    </w:p>
    <w:p w14:paraId="37C9F959">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01B3F5FD">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10C8AFE3">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52E67786">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5E660743">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14BD022A">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2B36202E">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4326D2FF">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5060CD14">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2535BDAA">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126ABBCF">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7A60DBDF">
      <w:pPr>
        <w:keepNext w:val="0"/>
        <w:keepLines w:val="0"/>
        <w:pageBreakBefore w:val="0"/>
        <w:kinsoku/>
        <w:wordWrap/>
        <w:topLinePunct w:val="0"/>
        <w:bidi w:val="0"/>
        <w:spacing w:line="245" w:lineRule="auto"/>
        <w:rPr>
          <w:rFonts w:hint="default" w:ascii="Times New Roman" w:hAnsi="Times New Roman" w:cs="Times New Roman"/>
          <w:color w:val="auto"/>
          <w:sz w:val="21"/>
        </w:rPr>
      </w:pPr>
    </w:p>
    <w:p w14:paraId="32A99A9A">
      <w:pPr>
        <w:keepNext w:val="0"/>
        <w:keepLines w:val="0"/>
        <w:pageBreakBefore w:val="0"/>
        <w:kinsoku/>
        <w:wordWrap/>
        <w:topLinePunct w:val="0"/>
        <w:bidi w:val="0"/>
        <w:spacing w:before="114" w:line="228" w:lineRule="auto"/>
        <w:ind w:left="3235"/>
        <w:rPr>
          <w:rFonts w:hint="default" w:ascii="Times New Roman" w:hAnsi="Times New Roman" w:eastAsia="黑体" w:cs="Times New Roman"/>
          <w:color w:val="auto"/>
          <w:sz w:val="35"/>
          <w:szCs w:val="35"/>
        </w:rPr>
      </w:pPr>
      <w:r>
        <w:rPr>
          <w:rFonts w:hint="default" w:ascii="Times New Roman" w:hAnsi="Times New Roman" w:eastAsia="黑体" w:cs="Times New Roman"/>
          <w:color w:val="auto"/>
          <w:spacing w:val="-1"/>
          <w:sz w:val="35"/>
          <w:szCs w:val="35"/>
          <w:lang w:val="en-US" w:eastAsia="zh-CN"/>
        </w:rPr>
        <w:t>2026</w:t>
      </w:r>
      <w:r>
        <w:rPr>
          <w:rFonts w:hint="default" w:ascii="Times New Roman" w:hAnsi="Times New Roman" w:eastAsia="黑体" w:cs="Times New Roman"/>
          <w:color w:val="auto"/>
          <w:spacing w:val="-1"/>
          <w:sz w:val="35"/>
          <w:szCs w:val="35"/>
        </w:rPr>
        <w:t>年</w:t>
      </w:r>
      <w:r>
        <w:rPr>
          <w:rFonts w:hint="default" w:ascii="Times New Roman" w:hAnsi="Times New Roman" w:eastAsia="黑体" w:cs="Times New Roman"/>
          <w:color w:val="auto"/>
          <w:spacing w:val="-71"/>
          <w:sz w:val="35"/>
          <w:szCs w:val="35"/>
          <w:lang w:val="en-US" w:eastAsia="zh-CN"/>
        </w:rPr>
        <w:t>6</w:t>
      </w:r>
      <w:r>
        <w:rPr>
          <w:rFonts w:hint="default" w:ascii="Times New Roman" w:hAnsi="Times New Roman" w:eastAsia="黑体" w:cs="Times New Roman"/>
          <w:color w:val="auto"/>
          <w:spacing w:val="-64"/>
          <w:sz w:val="35"/>
          <w:szCs w:val="35"/>
        </w:rPr>
        <w:t xml:space="preserve"> </w:t>
      </w:r>
      <w:r>
        <w:rPr>
          <w:rFonts w:hint="default" w:ascii="Times New Roman" w:hAnsi="Times New Roman" w:eastAsia="黑体" w:cs="Times New Roman"/>
          <w:color w:val="auto"/>
          <w:spacing w:val="-64"/>
          <w:sz w:val="35"/>
          <w:szCs w:val="35"/>
          <w:lang w:val="en-US" w:eastAsia="zh-CN"/>
        </w:rPr>
        <w:t xml:space="preserve"> </w:t>
      </w:r>
      <w:r>
        <w:rPr>
          <w:rFonts w:hint="default" w:ascii="Times New Roman" w:hAnsi="Times New Roman" w:eastAsia="黑体" w:cs="Times New Roman"/>
          <w:color w:val="auto"/>
          <w:spacing w:val="-1"/>
          <w:sz w:val="35"/>
          <w:szCs w:val="35"/>
        </w:rPr>
        <w:t>月</w:t>
      </w:r>
    </w:p>
    <w:p w14:paraId="1465AC19">
      <w:pPr>
        <w:keepNext w:val="0"/>
        <w:keepLines w:val="0"/>
        <w:pageBreakBefore w:val="0"/>
        <w:kinsoku/>
        <w:wordWrap/>
        <w:topLinePunct w:val="0"/>
        <w:bidi w:val="0"/>
        <w:spacing w:line="228" w:lineRule="auto"/>
        <w:rPr>
          <w:rFonts w:hint="default" w:ascii="Times New Roman" w:hAnsi="Times New Roman" w:eastAsia="黑体" w:cs="Times New Roman"/>
          <w:color w:val="auto"/>
          <w:sz w:val="35"/>
          <w:szCs w:val="35"/>
        </w:rPr>
        <w:sectPr>
          <w:headerReference r:id="rId5" w:type="default"/>
          <w:footerReference r:id="rId6" w:type="default"/>
          <w:pgSz w:w="11906" w:h="16839"/>
          <w:pgMar w:top="400" w:right="1785" w:bottom="1127" w:left="1785" w:header="0" w:footer="848" w:gutter="0"/>
          <w:pgBorders>
            <w:top w:val="none" w:sz="0" w:space="0"/>
            <w:left w:val="none" w:sz="0" w:space="0"/>
            <w:bottom w:val="none" w:sz="0" w:space="0"/>
            <w:right w:val="none" w:sz="0" w:space="0"/>
          </w:pgBorders>
          <w:cols w:space="720" w:num="1"/>
        </w:sectPr>
      </w:pPr>
    </w:p>
    <w:sdt>
      <w:sdtPr>
        <w:rPr>
          <w:rFonts w:hint="eastAsia" w:ascii="黑体" w:hAnsi="黑体" w:eastAsia="黑体" w:cs="黑体"/>
          <w:b/>
          <w:bCs/>
          <w:snapToGrid w:val="0"/>
          <w:color w:val="000000"/>
          <w:kern w:val="0"/>
          <w:sz w:val="32"/>
          <w:szCs w:val="32"/>
          <w:lang w:val="en-US" w:eastAsia="en-US" w:bidi="ar-SA"/>
        </w:rPr>
        <w:id w:val="147456638"/>
        <w15:color w:val="DBDBDB"/>
        <w:docPartObj>
          <w:docPartGallery w:val="Table of Contents"/>
          <w:docPartUnique/>
        </w:docPartObj>
      </w:sdtPr>
      <w:sdtEndPr>
        <w:rPr>
          <w:rFonts w:hint="default" w:ascii="Times New Roman" w:hAnsi="Times New Roman" w:eastAsia="Arial" w:cs="Times New Roman"/>
          <w:b/>
          <w:bCs/>
          <w:snapToGrid w:val="0"/>
          <w:color w:val="auto"/>
          <w:kern w:val="0"/>
          <w:sz w:val="21"/>
          <w:szCs w:val="21"/>
          <w:lang w:val="en-US" w:eastAsia="en-US" w:bidi="ar-SA"/>
        </w:rPr>
      </w:sdtEndPr>
      <w:sdtContent>
        <w:p w14:paraId="5466BE78">
          <w:pPr>
            <w:spacing w:before="0" w:beforeLines="0" w:after="0" w:afterLines="0" w:line="240" w:lineRule="auto"/>
            <w:ind w:left="0" w:leftChars="0" w:right="0" w:righ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目录</w:t>
          </w:r>
        </w:p>
        <w:p w14:paraId="13C9F274">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color w:val="auto"/>
              <w:sz w:val="24"/>
              <w:szCs w:val="24"/>
            </w:rPr>
            <w:instrText xml:space="preserve">TOC \o "1-2" \h \u </w:instrText>
          </w:r>
          <w:r>
            <w:rPr>
              <w:rFonts w:hint="default" w:ascii="Times New Roman" w:hAnsi="Times New Roman" w:eastAsia="仿宋" w:cs="Times New Roman"/>
              <w:b/>
              <w:bCs/>
              <w:color w:val="auto"/>
              <w:sz w:val="24"/>
              <w:szCs w:val="24"/>
            </w:rPr>
            <w:fldChar w:fldCharType="separate"/>
          </w: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_Toc4666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一、专业名称及代码</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_Toc4666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2C4EC35D">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_Toc12099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二、入学要求</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_Toc12099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6396546D">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_Toc23476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三、修业年限</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_Toc23476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24F2C7AA">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_Toc31829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四、 职业面向</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_Toc31829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65E9D60E">
          <w:pPr>
            <w:pStyle w:val="7"/>
            <w:tabs>
              <w:tab w:val="right" w:leader="dot" w:pos="9746"/>
            </w:tabs>
            <w:spacing w:line="360" w:lineRule="auto"/>
            <w:ind w:firstLine="482" w:firstLineChars="200"/>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_Toc5936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val="0"/>
              <w:bCs w:val="0"/>
              <w:spacing w:val="4"/>
              <w:sz w:val="24"/>
              <w:szCs w:val="24"/>
              <w:lang w:val="en-US" w:eastAsia="zh-CN"/>
            </w:rPr>
            <w:t>（一</w:t>
          </w:r>
          <w:r>
            <w:rPr>
              <w:rFonts w:hint="default" w:ascii="Times New Roman" w:hAnsi="Times New Roman" w:eastAsia="仿宋" w:cs="Times New Roman"/>
              <w:b w:val="0"/>
              <w:bCs w:val="0"/>
              <w:spacing w:val="4"/>
              <w:sz w:val="24"/>
              <w:szCs w:val="24"/>
              <w:lang w:eastAsia="zh-CN"/>
            </w:rPr>
            <w:t>）</w:t>
          </w:r>
          <w:r>
            <w:rPr>
              <w:rFonts w:hint="default" w:ascii="Times New Roman" w:hAnsi="Times New Roman" w:eastAsia="仿宋" w:cs="Times New Roman"/>
              <w:b w:val="0"/>
              <w:bCs w:val="0"/>
              <w:spacing w:val="4"/>
              <w:sz w:val="24"/>
              <w:szCs w:val="24"/>
            </w:rPr>
            <w:t>职业领域</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_Toc5936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15D2EC03">
          <w:pPr>
            <w:pStyle w:val="7"/>
            <w:tabs>
              <w:tab w:val="right" w:leader="dot" w:pos="9746"/>
            </w:tabs>
            <w:spacing w:line="360" w:lineRule="auto"/>
            <w:ind w:firstLine="482" w:firstLineChars="200"/>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_Toc29818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val="0"/>
              <w:bCs w:val="0"/>
              <w:spacing w:val="4"/>
              <w:sz w:val="24"/>
              <w:szCs w:val="24"/>
              <w:lang w:val="en-US" w:eastAsia="zh-CN"/>
            </w:rPr>
            <w:t>（二）就业岗位及相应职业能力描述</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_Toc29818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024B9B99">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_Toc32510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五、培养目标及培养规格</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_Toc32510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3</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7031FC28">
          <w:pPr>
            <w:pStyle w:val="7"/>
            <w:tabs>
              <w:tab w:val="right" w:leader="dot" w:pos="9746"/>
            </w:tabs>
            <w:spacing w:line="360" w:lineRule="auto"/>
            <w:ind w:firstLine="480" w:firstLineChars="200"/>
            <w:rPr>
              <w:rFonts w:hint="default" w:ascii="Times New Roman" w:hAnsi="Times New Roman" w:eastAsia="仿宋" w:cs="Times New Roman"/>
              <w:b w:val="0"/>
              <w:bCs w:val="0"/>
              <w:color w:val="auto"/>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color w:val="auto"/>
              <w:sz w:val="24"/>
              <w:szCs w:val="24"/>
            </w:rPr>
            <w:instrText xml:space="preserve"> HYPERLINK \l _Toc13437 </w:instrText>
          </w:r>
          <w:r>
            <w:rPr>
              <w:rFonts w:hint="default" w:ascii="Times New Roman" w:hAnsi="Times New Roman" w:eastAsia="仿宋" w:cs="Times New Roman"/>
              <w:b w:val="0"/>
              <w:bCs w:val="0"/>
              <w:color w:val="auto"/>
              <w:sz w:val="24"/>
              <w:szCs w:val="24"/>
            </w:rPr>
            <w:fldChar w:fldCharType="separate"/>
          </w:r>
          <w:r>
            <w:rPr>
              <w:rFonts w:hint="default" w:ascii="Times New Roman" w:hAnsi="Times New Roman" w:eastAsia="仿宋" w:cs="Times New Roman"/>
              <w:b w:val="0"/>
              <w:bCs w:val="0"/>
              <w:color w:val="auto"/>
              <w:sz w:val="24"/>
              <w:szCs w:val="24"/>
            </w:rPr>
            <w:t>（一）培养目标</w:t>
          </w:r>
          <w:r>
            <w:rPr>
              <w:rFonts w:hint="default" w:ascii="Times New Roman" w:hAnsi="Times New Roman" w:eastAsia="仿宋" w:cs="Times New Roman"/>
              <w:b w:val="0"/>
              <w:bCs w:val="0"/>
              <w:color w:val="auto"/>
              <w:sz w:val="24"/>
              <w:szCs w:val="24"/>
            </w:rPr>
            <w:tab/>
          </w: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color w:val="auto"/>
              <w:sz w:val="24"/>
              <w:szCs w:val="24"/>
            </w:rPr>
            <w:instrText xml:space="preserve"> PAGEREF _Toc13437 \h </w:instrText>
          </w:r>
          <w:r>
            <w:rPr>
              <w:rFonts w:hint="default" w:ascii="Times New Roman" w:hAnsi="Times New Roman" w:eastAsia="仿宋" w:cs="Times New Roman"/>
              <w:b w:val="0"/>
              <w:bCs w:val="0"/>
              <w:color w:val="auto"/>
              <w:sz w:val="24"/>
              <w:szCs w:val="24"/>
            </w:rPr>
            <w:fldChar w:fldCharType="separate"/>
          </w:r>
          <w:r>
            <w:rPr>
              <w:rFonts w:hint="default" w:ascii="Times New Roman" w:hAnsi="Times New Roman" w:eastAsia="仿宋" w:cs="Times New Roman"/>
              <w:b w:val="0"/>
              <w:bCs w:val="0"/>
              <w:color w:val="auto"/>
              <w:sz w:val="24"/>
              <w:szCs w:val="24"/>
            </w:rPr>
            <w:t>3</w:t>
          </w:r>
          <w:r>
            <w:rPr>
              <w:rFonts w:hint="default" w:ascii="Times New Roman" w:hAnsi="Times New Roman" w:eastAsia="仿宋" w:cs="Times New Roman"/>
              <w:b w:val="0"/>
              <w:bCs w:val="0"/>
              <w:color w:val="auto"/>
              <w:sz w:val="24"/>
              <w:szCs w:val="24"/>
            </w:rPr>
            <w:fldChar w:fldCharType="end"/>
          </w:r>
          <w:r>
            <w:rPr>
              <w:rFonts w:hint="default" w:ascii="Times New Roman" w:hAnsi="Times New Roman" w:eastAsia="仿宋" w:cs="Times New Roman"/>
              <w:b w:val="0"/>
              <w:bCs w:val="0"/>
              <w:color w:val="auto"/>
              <w:sz w:val="24"/>
              <w:szCs w:val="24"/>
            </w:rPr>
            <w:fldChar w:fldCharType="end"/>
          </w:r>
        </w:p>
        <w:p w14:paraId="383B545C">
          <w:pPr>
            <w:pStyle w:val="7"/>
            <w:tabs>
              <w:tab w:val="right" w:leader="dot" w:pos="9746"/>
            </w:tabs>
            <w:spacing w:line="360" w:lineRule="auto"/>
            <w:ind w:firstLine="480" w:firstLineChars="200"/>
            <w:rPr>
              <w:rFonts w:hint="default" w:ascii="Times New Roman" w:hAnsi="Times New Roman" w:eastAsia="仿宋" w:cs="Times New Roman"/>
              <w:b/>
              <w:bCs/>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color w:val="auto"/>
              <w:sz w:val="24"/>
              <w:szCs w:val="24"/>
            </w:rPr>
            <w:instrText xml:space="preserve"> HYPERLINK \l _Toc8267 </w:instrText>
          </w:r>
          <w:r>
            <w:rPr>
              <w:rFonts w:hint="default" w:ascii="Times New Roman" w:hAnsi="Times New Roman" w:eastAsia="仿宋" w:cs="Times New Roman"/>
              <w:b w:val="0"/>
              <w:bCs w:val="0"/>
              <w:color w:val="auto"/>
              <w:sz w:val="24"/>
              <w:szCs w:val="24"/>
            </w:rPr>
            <w:fldChar w:fldCharType="separate"/>
          </w:r>
          <w:r>
            <w:rPr>
              <w:rFonts w:hint="default" w:ascii="Times New Roman" w:hAnsi="Times New Roman" w:eastAsia="仿宋" w:cs="Times New Roman"/>
              <w:b w:val="0"/>
              <w:bCs w:val="0"/>
              <w:color w:val="auto"/>
              <w:sz w:val="24"/>
              <w:szCs w:val="24"/>
            </w:rPr>
            <w:t>（</w:t>
          </w: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）培养</w:t>
          </w:r>
          <w:r>
            <w:rPr>
              <w:rFonts w:hint="default" w:ascii="Times New Roman" w:hAnsi="Times New Roman" w:eastAsia="仿宋" w:cs="Times New Roman"/>
              <w:b w:val="0"/>
              <w:bCs w:val="0"/>
              <w:color w:val="auto"/>
              <w:sz w:val="24"/>
              <w:szCs w:val="24"/>
              <w:lang w:val="en-US" w:eastAsia="zh-CN"/>
            </w:rPr>
            <w:t>规格</w:t>
          </w:r>
          <w:r>
            <w:rPr>
              <w:rFonts w:hint="default" w:ascii="Times New Roman" w:hAnsi="Times New Roman" w:eastAsia="仿宋" w:cs="Times New Roman"/>
              <w:b w:val="0"/>
              <w:bCs w:val="0"/>
              <w:color w:val="auto"/>
              <w:sz w:val="24"/>
              <w:szCs w:val="24"/>
            </w:rPr>
            <w:tab/>
          </w: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color w:val="auto"/>
              <w:sz w:val="24"/>
              <w:szCs w:val="24"/>
            </w:rPr>
            <w:instrText xml:space="preserve"> PAGEREF _Toc8267 \h </w:instrText>
          </w:r>
          <w:r>
            <w:rPr>
              <w:rFonts w:hint="default" w:ascii="Times New Roman" w:hAnsi="Times New Roman" w:eastAsia="仿宋" w:cs="Times New Roman"/>
              <w:b w:val="0"/>
              <w:bCs w:val="0"/>
              <w:color w:val="auto"/>
              <w:sz w:val="24"/>
              <w:szCs w:val="24"/>
            </w:rPr>
            <w:fldChar w:fldCharType="separate"/>
          </w:r>
          <w:r>
            <w:rPr>
              <w:rFonts w:hint="default" w:ascii="Times New Roman" w:hAnsi="Times New Roman" w:eastAsia="仿宋" w:cs="Times New Roman"/>
              <w:b w:val="0"/>
              <w:bCs w:val="0"/>
              <w:color w:val="auto"/>
              <w:sz w:val="24"/>
              <w:szCs w:val="24"/>
            </w:rPr>
            <w:t>3</w:t>
          </w:r>
          <w:r>
            <w:rPr>
              <w:rFonts w:hint="default" w:ascii="Times New Roman" w:hAnsi="Times New Roman" w:eastAsia="仿宋" w:cs="Times New Roman"/>
              <w:b w:val="0"/>
              <w:bCs w:val="0"/>
              <w:color w:val="auto"/>
              <w:sz w:val="24"/>
              <w:szCs w:val="24"/>
            </w:rPr>
            <w:fldChar w:fldCharType="end"/>
          </w:r>
          <w:r>
            <w:rPr>
              <w:rFonts w:hint="default" w:ascii="Times New Roman" w:hAnsi="Times New Roman" w:eastAsia="仿宋" w:cs="Times New Roman"/>
              <w:b w:val="0"/>
              <w:bCs w:val="0"/>
              <w:color w:val="auto"/>
              <w:sz w:val="24"/>
              <w:szCs w:val="24"/>
            </w:rPr>
            <w:fldChar w:fldCharType="end"/>
          </w:r>
        </w:p>
        <w:p w14:paraId="166E5843">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_Toc21935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六、课程设置及要求</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_Toc21935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3</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7E0754EE">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_Toc12811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rPr>
            <w:t>（一）公共基础课程</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_Toc12811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4</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00D5C666">
          <w:pPr>
            <w:pStyle w:val="7"/>
            <w:tabs>
              <w:tab w:val="right" w:leader="dot" w:pos="9746"/>
            </w:tabs>
            <w:spacing w:line="360" w:lineRule="auto"/>
            <w:ind w:firstLine="480" w:firstLineChars="200"/>
            <w:rPr>
              <w:rFonts w:hint="default" w:ascii="Times New Roman" w:hAnsi="Times New Roman" w:eastAsia="仿宋" w:cs="Times New Roman"/>
              <w:b/>
              <w:bCs/>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_Toc12942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rPr>
            <w:t>（二）专业课程</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_Toc12942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13</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53893EBA">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_Toc3766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七、教学进程总体安排</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_Toc3766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19</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0957DAD7">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_Toc17881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rPr>
            <w:t>（一）教学周数安排表</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_Toc17881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19</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7387A570">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_Toc20365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lang w:val="en-US" w:eastAsia="zh-CN"/>
            </w:rPr>
            <w:t>（二）教学计划进程表</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_Toc20365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20</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22D39F31">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_Toc12105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rPr>
            <w:t>（三）第二课堂安排表</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_Toc12105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22</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4A6D9297">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_Toc15098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rPr>
            <w:t>（四）实践教学安排表</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_Toc15098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23</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2F544F55">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_Toc29420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4"/>
              <w:sz w:val="24"/>
              <w:szCs w:val="24"/>
              <w:lang w:val="en-US" w:eastAsia="en-US"/>
            </w:rPr>
            <w:t>（五）各模块学时、学分</w:t>
          </w:r>
          <w:r>
            <w:rPr>
              <w:rFonts w:hint="default" w:ascii="Times New Roman" w:hAnsi="Times New Roman" w:eastAsia="仿宋" w:cs="Times New Roman"/>
              <w:b w:val="0"/>
              <w:bCs w:val="0"/>
              <w:spacing w:val="4"/>
              <w:sz w:val="24"/>
              <w:szCs w:val="24"/>
              <w:lang w:val="en-US" w:eastAsia="zh-CN"/>
            </w:rPr>
            <w:t>汇总</w:t>
          </w:r>
          <w:r>
            <w:rPr>
              <w:rFonts w:hint="default" w:ascii="Times New Roman" w:hAnsi="Times New Roman" w:eastAsia="仿宋" w:cs="Times New Roman"/>
              <w:b w:val="0"/>
              <w:bCs w:val="0"/>
              <w:spacing w:val="4"/>
              <w:sz w:val="24"/>
              <w:szCs w:val="24"/>
              <w:lang w:val="en-US" w:eastAsia="en-US"/>
            </w:rPr>
            <w:t>表</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_Toc29420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23</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2A77BCE2">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_Toc26356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八、 实施保障</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_Toc26356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24</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05F8C340">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_Toc28789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3"/>
              <w:sz w:val="24"/>
              <w:szCs w:val="24"/>
            </w:rPr>
            <w:t>（一）师资队伍</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_Toc28789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24</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6EF91D14">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_Toc14228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3"/>
              <w:sz w:val="24"/>
              <w:szCs w:val="24"/>
            </w:rPr>
            <w:t>（二）教学设施</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_Toc14228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25</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0D91A624">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_Toc14853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3"/>
              <w:sz w:val="24"/>
              <w:szCs w:val="24"/>
            </w:rPr>
            <w:t>（三）教学资源</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_Toc14853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28</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4417EF5B">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_Toc25402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3"/>
              <w:sz w:val="24"/>
              <w:szCs w:val="24"/>
            </w:rPr>
            <w:t>（四）教学方法</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_Toc25402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28</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07720434">
          <w:pPr>
            <w:pStyle w:val="7"/>
            <w:tabs>
              <w:tab w:val="right" w:leader="dot" w:pos="9746"/>
            </w:tabs>
            <w:spacing w:line="360" w:lineRule="auto"/>
            <w:ind w:firstLine="480" w:firstLineChars="2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_Toc28210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3"/>
              <w:sz w:val="24"/>
              <w:szCs w:val="24"/>
            </w:rPr>
            <w:t>（五）学习评价</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_Toc28210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29</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55C4830E">
          <w:pPr>
            <w:pStyle w:val="7"/>
            <w:tabs>
              <w:tab w:val="right" w:leader="dot" w:pos="9746"/>
            </w:tabs>
            <w:spacing w:line="360" w:lineRule="auto"/>
            <w:ind w:firstLine="480" w:firstLineChars="200"/>
            <w:rPr>
              <w:rFonts w:hint="default" w:ascii="Times New Roman" w:hAnsi="Times New Roman" w:eastAsia="仿宋" w:cs="Times New Roman"/>
              <w:b/>
              <w:bCs/>
              <w:sz w:val="24"/>
              <w:szCs w:val="24"/>
            </w:rPr>
          </w:pPr>
          <w:r>
            <w:rPr>
              <w:rFonts w:hint="default" w:ascii="Times New Roman" w:hAnsi="Times New Roman" w:eastAsia="仿宋" w:cs="Times New Roman"/>
              <w:b w:val="0"/>
              <w:bCs w:val="0"/>
              <w:color w:val="auto"/>
              <w:sz w:val="24"/>
              <w:szCs w:val="24"/>
            </w:rPr>
            <w:fldChar w:fldCharType="begin"/>
          </w:r>
          <w:r>
            <w:rPr>
              <w:rFonts w:hint="default" w:ascii="Times New Roman" w:hAnsi="Times New Roman" w:eastAsia="仿宋" w:cs="Times New Roman"/>
              <w:b w:val="0"/>
              <w:bCs w:val="0"/>
              <w:sz w:val="24"/>
              <w:szCs w:val="24"/>
            </w:rPr>
            <w:instrText xml:space="preserve"> HYPERLINK \l _Toc12533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pacing w:val="3"/>
              <w:sz w:val="24"/>
              <w:szCs w:val="24"/>
            </w:rPr>
            <w:t>（六）质量管理</w:t>
          </w:r>
          <w:r>
            <w:rPr>
              <w:rFonts w:hint="default" w:ascii="Times New Roman" w:hAnsi="Times New Roman" w:eastAsia="仿宋" w:cs="Times New Roman"/>
              <w:b w:val="0"/>
              <w:bCs w:val="0"/>
              <w:sz w:val="24"/>
              <w:szCs w:val="24"/>
            </w:rPr>
            <w:tab/>
          </w: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PAGEREF _Toc12533 \h </w:instrText>
          </w:r>
          <w:r>
            <w:rPr>
              <w:rFonts w:hint="default" w:ascii="Times New Roman" w:hAnsi="Times New Roman" w:eastAsia="仿宋" w:cs="Times New Roman"/>
              <w:b w:val="0"/>
              <w:bCs w:val="0"/>
              <w:sz w:val="24"/>
              <w:szCs w:val="24"/>
            </w:rPr>
            <w:fldChar w:fldCharType="separate"/>
          </w:r>
          <w:r>
            <w:rPr>
              <w:rFonts w:hint="default" w:ascii="Times New Roman" w:hAnsi="Times New Roman" w:eastAsia="仿宋" w:cs="Times New Roman"/>
              <w:b w:val="0"/>
              <w:bCs w:val="0"/>
              <w:sz w:val="24"/>
              <w:szCs w:val="24"/>
            </w:rPr>
            <w:t>30</w:t>
          </w:r>
          <w:r>
            <w:rPr>
              <w:rFonts w:hint="default" w:ascii="Times New Roman" w:hAnsi="Times New Roman" w:eastAsia="仿宋" w:cs="Times New Roman"/>
              <w:b w:val="0"/>
              <w:bCs w:val="0"/>
              <w:sz w:val="24"/>
              <w:szCs w:val="24"/>
            </w:rPr>
            <w:fldChar w:fldCharType="end"/>
          </w:r>
          <w:r>
            <w:rPr>
              <w:rFonts w:hint="default" w:ascii="Times New Roman" w:hAnsi="Times New Roman" w:eastAsia="仿宋" w:cs="Times New Roman"/>
              <w:b w:val="0"/>
              <w:bCs w:val="0"/>
              <w:color w:val="auto"/>
              <w:sz w:val="24"/>
              <w:szCs w:val="24"/>
            </w:rPr>
            <w:fldChar w:fldCharType="end"/>
          </w:r>
        </w:p>
        <w:p w14:paraId="59B02274">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_Toc5978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九、毕业要求</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_Toc5978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31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1905BB97">
          <w:pPr>
            <w:pStyle w:val="7"/>
            <w:tabs>
              <w:tab w:val="right" w:leader="dot" w:pos="9746"/>
            </w:tabs>
            <w:spacing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b/>
              <w:bCs/>
              <w:color w:val="auto"/>
              <w:sz w:val="24"/>
              <w:szCs w:val="24"/>
            </w:rPr>
            <w:fldChar w:fldCharType="begin"/>
          </w:r>
          <w:r>
            <w:rPr>
              <w:rFonts w:hint="default" w:ascii="Times New Roman" w:hAnsi="Times New Roman" w:eastAsia="仿宋" w:cs="Times New Roman"/>
              <w:b/>
              <w:bCs/>
              <w:sz w:val="24"/>
              <w:szCs w:val="24"/>
            </w:rPr>
            <w:instrText xml:space="preserve"> HYPERLINK \l _Toc2827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十、附录</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_Toc2827 \h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31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auto"/>
              <w:sz w:val="24"/>
              <w:szCs w:val="24"/>
            </w:rPr>
            <w:fldChar w:fldCharType="end"/>
          </w:r>
        </w:p>
        <w:p w14:paraId="7EA2199C">
          <w:pPr>
            <w:keepNext w:val="0"/>
            <w:keepLines w:val="0"/>
            <w:pageBreakBefore w:val="0"/>
            <w:kinsoku/>
            <w:wordWrap/>
            <w:topLinePunct w:val="0"/>
            <w:bidi w:val="0"/>
            <w:spacing w:line="360" w:lineRule="auto"/>
            <w:rPr>
              <w:rFonts w:hint="default" w:ascii="Times New Roman" w:hAnsi="Times New Roman" w:eastAsia="Arial" w:cs="Times New Roman"/>
              <w:snapToGrid w:val="0"/>
              <w:color w:val="auto"/>
              <w:kern w:val="0"/>
              <w:sz w:val="21"/>
              <w:szCs w:val="21"/>
              <w:lang w:val="en-US" w:eastAsia="en-US" w:bidi="ar-SA"/>
            </w:rPr>
            <w:sectPr>
              <w:footerReference r:id="rId7" w:type="default"/>
              <w:pgSz w:w="11906" w:h="16839"/>
              <w:pgMar w:top="1440" w:right="1080" w:bottom="1440" w:left="1080" w:header="0" w:footer="848" w:gutter="0"/>
              <w:pgBorders>
                <w:top w:val="none" w:sz="0" w:space="0"/>
                <w:left w:val="none" w:sz="0" w:space="0"/>
                <w:bottom w:val="none" w:sz="0" w:space="0"/>
                <w:right w:val="none" w:sz="0" w:space="0"/>
              </w:pgBorders>
              <w:cols w:space="720" w:num="1"/>
            </w:sectPr>
          </w:pPr>
          <w:r>
            <w:rPr>
              <w:rFonts w:hint="default" w:ascii="Times New Roman" w:hAnsi="Times New Roman" w:eastAsia="仿宋" w:cs="Times New Roman"/>
              <w:b/>
              <w:bCs/>
              <w:color w:val="auto"/>
              <w:sz w:val="24"/>
              <w:szCs w:val="24"/>
            </w:rPr>
            <w:fldChar w:fldCharType="end"/>
          </w:r>
        </w:p>
      </w:sdtContent>
    </w:sdt>
    <w:p w14:paraId="272C337B">
      <w:pPr>
        <w:keepNext w:val="0"/>
        <w:keepLines w:val="0"/>
        <w:pageBreakBefore w:val="0"/>
        <w:kinsoku/>
        <w:wordWrap/>
        <w:topLinePunct w:val="0"/>
        <w:bidi w:val="0"/>
        <w:spacing w:line="277" w:lineRule="auto"/>
        <w:rPr>
          <w:rFonts w:hint="default" w:ascii="Times New Roman" w:hAnsi="Times New Roman" w:eastAsia="Arial" w:cs="Times New Roman"/>
          <w:snapToGrid w:val="0"/>
          <w:color w:val="auto"/>
          <w:kern w:val="0"/>
          <w:sz w:val="21"/>
          <w:szCs w:val="21"/>
          <w:lang w:val="en-US" w:eastAsia="en-US" w:bidi="ar-SA"/>
        </w:rPr>
      </w:pPr>
    </w:p>
    <w:p w14:paraId="33C2432C">
      <w:pPr>
        <w:pStyle w:val="2"/>
        <w:bidi w:val="0"/>
        <w:ind w:firstLine="1124" w:firstLineChars="400"/>
        <w:rPr>
          <w:rFonts w:hint="default" w:ascii="Times New Roman" w:hAnsi="Times New Roman" w:cs="Times New Roman"/>
          <w:b/>
        </w:rPr>
      </w:pPr>
      <w:bookmarkStart w:id="0" w:name="_Toc4666"/>
      <w:r>
        <w:rPr>
          <w:rFonts w:hint="default" w:ascii="Times New Roman" w:hAnsi="Times New Roman" w:cs="Times New Roman"/>
          <w:b/>
        </w:rPr>
        <w:t>一、专业名称及代码</w:t>
      </w:r>
      <w:bookmarkEnd w:id="0"/>
    </w:p>
    <w:p w14:paraId="2055B521">
      <w:pPr>
        <w:pStyle w:val="5"/>
        <w:keepNext w:val="0"/>
        <w:keepLines w:val="0"/>
        <w:pageBreakBefore w:val="0"/>
        <w:kinsoku/>
        <w:wordWrap/>
        <w:topLinePunct w:val="0"/>
        <w:bidi w:val="0"/>
        <w:spacing w:before="179" w:line="226" w:lineRule="auto"/>
        <w:ind w:left="984"/>
        <w:rPr>
          <w:rFonts w:hint="default" w:ascii="Times New Roman" w:hAnsi="Times New Roman" w:eastAsia="仿宋" w:cs="Times New Roman"/>
          <w:color w:val="auto"/>
          <w:lang w:val="en-US" w:eastAsia="zh-CN"/>
        </w:rPr>
      </w:pPr>
      <w:r>
        <w:rPr>
          <w:rFonts w:hint="default" w:ascii="Times New Roman" w:hAnsi="Times New Roman" w:cs="Times New Roman"/>
          <w:b/>
          <w:bCs/>
          <w:color w:val="auto"/>
          <w:spacing w:val="-11"/>
        </w:rPr>
        <w:t>（一）专业名称：</w:t>
      </w:r>
      <w:r>
        <w:rPr>
          <w:rFonts w:hint="default" w:ascii="Times New Roman" w:hAnsi="Times New Roman" w:cs="Times New Roman"/>
          <w:color w:val="auto"/>
          <w:spacing w:val="-81"/>
        </w:rPr>
        <w:t xml:space="preserve"> </w:t>
      </w:r>
      <w:r>
        <w:rPr>
          <w:rFonts w:hint="default" w:ascii="Times New Roman" w:hAnsi="Times New Roman" w:cs="Times New Roman"/>
          <w:color w:val="auto"/>
          <w:spacing w:val="-1"/>
          <w:lang w:val="en-US" w:eastAsia="zh-CN"/>
        </w:rPr>
        <w:t>口腔医学</w:t>
      </w:r>
    </w:p>
    <w:p w14:paraId="0705F5C1">
      <w:pPr>
        <w:pStyle w:val="5"/>
        <w:keepNext w:val="0"/>
        <w:keepLines w:val="0"/>
        <w:pageBreakBefore w:val="0"/>
        <w:kinsoku/>
        <w:wordWrap/>
        <w:topLinePunct w:val="0"/>
        <w:bidi w:val="0"/>
        <w:spacing w:before="178" w:line="282" w:lineRule="auto"/>
        <w:ind w:left="356" w:right="319" w:firstLine="627"/>
        <w:rPr>
          <w:rFonts w:hint="default" w:ascii="Times New Roman" w:hAnsi="Times New Roman" w:cs="Times New Roman"/>
          <w:color w:val="auto"/>
        </w:rPr>
      </w:pPr>
      <w:r>
        <w:rPr>
          <w:rFonts w:hint="default" w:ascii="Times New Roman" w:hAnsi="Times New Roman" w:cs="Times New Roman"/>
          <w:b/>
          <w:bCs/>
          <w:color w:val="auto"/>
          <w:spacing w:val="-3"/>
        </w:rPr>
        <w:t>（二）专业代码：</w:t>
      </w:r>
      <w:r>
        <w:rPr>
          <w:rFonts w:hint="default" w:ascii="Times New Roman" w:hAnsi="Times New Roman" w:cs="Times New Roman"/>
          <w:color w:val="auto"/>
          <w:spacing w:val="-93"/>
        </w:rPr>
        <w:t xml:space="preserve"> </w:t>
      </w:r>
      <w:r>
        <w:rPr>
          <w:rFonts w:hint="default" w:ascii="Times New Roman" w:hAnsi="Times New Roman" w:cs="Times New Roman"/>
          <w:color w:val="auto"/>
        </w:rPr>
        <w:t>520102K</w:t>
      </w:r>
    </w:p>
    <w:p w14:paraId="2A182761">
      <w:pPr>
        <w:pStyle w:val="2"/>
        <w:bidi w:val="0"/>
        <w:ind w:firstLine="1124" w:firstLineChars="400"/>
        <w:rPr>
          <w:rFonts w:hint="default" w:ascii="Times New Roman" w:hAnsi="Times New Roman" w:cs="Times New Roman"/>
          <w:b/>
        </w:rPr>
      </w:pPr>
      <w:bookmarkStart w:id="1" w:name="_Toc12099"/>
      <w:r>
        <w:rPr>
          <w:rFonts w:hint="default" w:ascii="Times New Roman" w:hAnsi="Times New Roman" w:cs="Times New Roman"/>
          <w:b/>
        </w:rPr>
        <w:t>二、入学要求</w:t>
      </w:r>
      <w:bookmarkEnd w:id="1"/>
    </w:p>
    <w:p w14:paraId="29581D93">
      <w:pPr>
        <w:pStyle w:val="2"/>
        <w:bidi w:val="0"/>
        <w:ind w:firstLine="1232" w:firstLineChars="400"/>
        <w:rPr>
          <w:rFonts w:hint="default" w:ascii="Times New Roman" w:hAnsi="Times New Roman" w:eastAsia="仿宋" w:cs="Times New Roman"/>
          <w:b w:val="0"/>
          <w:snapToGrid w:val="0"/>
          <w:color w:val="auto"/>
          <w:spacing w:val="-1"/>
          <w:kern w:val="0"/>
          <w:sz w:val="31"/>
          <w:szCs w:val="31"/>
          <w:lang w:val="en-US" w:eastAsia="zh-CN" w:bidi="ar-SA"/>
        </w:rPr>
      </w:pPr>
      <w:bookmarkStart w:id="2" w:name="_Toc4620"/>
      <w:r>
        <w:rPr>
          <w:rFonts w:hint="default" w:ascii="Times New Roman" w:hAnsi="Times New Roman" w:eastAsia="仿宋" w:cs="Times New Roman"/>
          <w:b w:val="0"/>
          <w:snapToGrid w:val="0"/>
          <w:color w:val="auto"/>
          <w:spacing w:val="-1"/>
          <w:kern w:val="0"/>
          <w:sz w:val="31"/>
          <w:szCs w:val="31"/>
          <w:lang w:val="en-US" w:eastAsia="zh-CN" w:bidi="ar-SA"/>
        </w:rPr>
        <w:t>普通高级中学毕业</w:t>
      </w:r>
      <w:bookmarkEnd w:id="2"/>
    </w:p>
    <w:p w14:paraId="52F0BDA7">
      <w:pPr>
        <w:pStyle w:val="2"/>
        <w:bidi w:val="0"/>
        <w:ind w:firstLine="1124" w:firstLineChars="400"/>
        <w:rPr>
          <w:rFonts w:hint="default" w:ascii="Times New Roman" w:hAnsi="Times New Roman" w:cs="Times New Roman"/>
        </w:rPr>
      </w:pPr>
      <w:bookmarkStart w:id="3" w:name="_Toc23476"/>
      <w:r>
        <w:rPr>
          <w:rFonts w:hint="default" w:ascii="Times New Roman" w:hAnsi="Times New Roman" w:cs="Times New Roman"/>
        </w:rPr>
        <w:t>三、修业年限</w:t>
      </w:r>
      <w:bookmarkEnd w:id="3"/>
    </w:p>
    <w:p w14:paraId="51ACFAAA">
      <w:pPr>
        <w:pStyle w:val="2"/>
        <w:bidi w:val="0"/>
        <w:ind w:firstLine="1232" w:firstLineChars="400"/>
        <w:rPr>
          <w:rFonts w:hint="default" w:ascii="Times New Roman" w:hAnsi="Times New Roman" w:eastAsia="仿宋" w:cs="Times New Roman"/>
          <w:b w:val="0"/>
          <w:snapToGrid w:val="0"/>
          <w:color w:val="auto"/>
          <w:spacing w:val="-1"/>
          <w:kern w:val="0"/>
          <w:sz w:val="31"/>
          <w:szCs w:val="31"/>
          <w:lang w:val="en-US" w:eastAsia="zh-CN" w:bidi="ar-SA"/>
        </w:rPr>
      </w:pPr>
      <w:bookmarkStart w:id="4" w:name="_Toc2467"/>
      <w:r>
        <w:rPr>
          <w:rFonts w:hint="default" w:ascii="Times New Roman" w:hAnsi="Times New Roman" w:eastAsia="仿宋" w:cs="Times New Roman"/>
          <w:b w:val="0"/>
          <w:snapToGrid w:val="0"/>
          <w:color w:val="auto"/>
          <w:spacing w:val="-1"/>
          <w:kern w:val="0"/>
          <w:sz w:val="31"/>
          <w:szCs w:val="31"/>
          <w:lang w:val="en-US" w:eastAsia="zh-CN" w:bidi="ar-SA"/>
        </w:rPr>
        <w:t>全日制 3 年</w:t>
      </w:r>
      <w:bookmarkEnd w:id="4"/>
    </w:p>
    <w:p w14:paraId="3005944E">
      <w:pPr>
        <w:pStyle w:val="2"/>
        <w:numPr>
          <w:ilvl w:val="0"/>
          <w:numId w:val="1"/>
        </w:numPr>
        <w:bidi w:val="0"/>
        <w:ind w:firstLine="1124" w:firstLineChars="400"/>
        <w:rPr>
          <w:rFonts w:hint="default" w:ascii="Times New Roman" w:hAnsi="Times New Roman" w:cs="Times New Roman"/>
        </w:rPr>
      </w:pPr>
      <w:bookmarkStart w:id="5" w:name="_Toc31829"/>
      <w:r>
        <w:rPr>
          <w:rFonts w:hint="default" w:ascii="Times New Roman" w:hAnsi="Times New Roman" w:cs="Times New Roman"/>
        </w:rPr>
        <w:t>职业面向</w:t>
      </w:r>
      <w:bookmarkEnd w:id="5"/>
    </w:p>
    <w:p w14:paraId="06F25746">
      <w:pPr>
        <w:pStyle w:val="5"/>
        <w:keepNext w:val="0"/>
        <w:keepLines w:val="0"/>
        <w:pageBreakBefore w:val="0"/>
        <w:kinsoku/>
        <w:wordWrap/>
        <w:topLinePunct w:val="0"/>
        <w:bidi w:val="0"/>
        <w:spacing w:before="178" w:line="227" w:lineRule="auto"/>
        <w:ind w:left="779"/>
        <w:outlineLvl w:val="0"/>
        <w:rPr>
          <w:rFonts w:hint="default" w:ascii="Times New Roman" w:hAnsi="Times New Roman" w:eastAsia="宋体" w:cs="Times New Roman"/>
          <w:color w:val="auto"/>
          <w:sz w:val="28"/>
          <w:szCs w:val="28"/>
        </w:rPr>
      </w:pPr>
      <w:bookmarkStart w:id="6" w:name="_Toc5936"/>
      <w:r>
        <w:rPr>
          <w:rFonts w:hint="default" w:ascii="Times New Roman" w:hAnsi="Times New Roman" w:cs="Times New Roman"/>
          <w:b/>
          <w:bCs/>
          <w:color w:val="auto"/>
          <w:spacing w:val="4"/>
          <w:lang w:val="en-US" w:eastAsia="zh-CN"/>
        </w:rPr>
        <w:t>（一</w:t>
      </w:r>
      <w:r>
        <w:rPr>
          <w:rFonts w:hint="default" w:ascii="Times New Roman" w:hAnsi="Times New Roman" w:cs="Times New Roman"/>
          <w:b/>
          <w:bCs/>
          <w:color w:val="auto"/>
          <w:spacing w:val="4"/>
          <w:lang w:eastAsia="zh-CN"/>
        </w:rPr>
        <w:t>）</w:t>
      </w:r>
      <w:r>
        <w:rPr>
          <w:rFonts w:hint="default" w:ascii="Times New Roman" w:hAnsi="Times New Roman" w:cs="Times New Roman"/>
          <w:b/>
          <w:bCs/>
          <w:color w:val="auto"/>
          <w:spacing w:val="4"/>
        </w:rPr>
        <w:t>职业领域</w:t>
      </w:r>
      <w:bookmarkEnd w:id="6"/>
    </w:p>
    <w:p w14:paraId="4C04D837">
      <w:pPr>
        <w:numPr>
          <w:ilvl w:val="0"/>
          <w:numId w:val="0"/>
        </w:numPr>
        <w:rPr>
          <w:rFonts w:hint="default" w:ascii="Times New Roman" w:hAnsi="Times New Roman" w:cs="Times New Roman"/>
        </w:rPr>
      </w:pPr>
    </w:p>
    <w:tbl>
      <w:tblPr>
        <w:tblStyle w:val="9"/>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69"/>
        <w:gridCol w:w="5310"/>
      </w:tblGrid>
      <w:tr w14:paraId="17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3269" w:type="dxa"/>
            <w:shd w:val="clear" w:color="auto" w:fill="auto"/>
            <w:vAlign w:val="center"/>
          </w:tcPr>
          <w:p w14:paraId="50C2733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en-US"/>
              </w:rPr>
            </w:pPr>
            <w:r>
              <w:rPr>
                <w:rFonts w:hint="default" w:ascii="Times New Roman" w:hAnsi="Times New Roman" w:eastAsia="楷体" w:cs="Times New Roman"/>
                <w:b/>
                <w:bCs/>
                <w:color w:val="auto"/>
                <w:spacing w:val="-2"/>
                <w:sz w:val="20"/>
                <w:szCs w:val="20"/>
                <w:lang w:val="en-US" w:eastAsia="zh-CN"/>
              </w:rPr>
              <w:t>所属专业大类</w:t>
            </w:r>
            <w:r>
              <w:rPr>
                <w:rFonts w:hint="eastAsia" w:ascii="Times New Roman" w:hAnsi="Times New Roman" w:eastAsia="楷体" w:cs="Times New Roman"/>
                <w:b/>
                <w:bCs/>
                <w:color w:val="auto"/>
                <w:spacing w:val="-2"/>
                <w:sz w:val="20"/>
                <w:szCs w:val="20"/>
                <w:lang w:val="en-US" w:eastAsia="zh-CN"/>
              </w:rPr>
              <w:t>（</w:t>
            </w:r>
            <w:r>
              <w:rPr>
                <w:rFonts w:hint="default" w:ascii="Times New Roman" w:hAnsi="Times New Roman" w:eastAsia="楷体" w:cs="Times New Roman"/>
                <w:b/>
                <w:bCs/>
                <w:color w:val="auto"/>
                <w:spacing w:val="-2"/>
                <w:sz w:val="20"/>
                <w:szCs w:val="20"/>
                <w:lang w:val="en-US" w:eastAsia="zh-CN"/>
              </w:rPr>
              <w:t>代码</w:t>
            </w:r>
            <w:r>
              <w:rPr>
                <w:rFonts w:hint="eastAsia" w:ascii="Times New Roman" w:hAnsi="Times New Roman" w:eastAsia="楷体" w:cs="Times New Roman"/>
                <w:b/>
                <w:bCs/>
                <w:color w:val="auto"/>
                <w:spacing w:val="-2"/>
                <w:sz w:val="20"/>
                <w:szCs w:val="20"/>
                <w:lang w:val="en-US" w:eastAsia="zh-CN"/>
              </w:rPr>
              <w:t>）</w:t>
            </w:r>
          </w:p>
        </w:tc>
        <w:tc>
          <w:tcPr>
            <w:tcW w:w="5310" w:type="dxa"/>
            <w:shd w:val="clear" w:color="auto" w:fill="auto"/>
            <w:vAlign w:val="center"/>
          </w:tcPr>
          <w:p w14:paraId="6EEBD5EE">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医药卫生大类（52）</w:t>
            </w:r>
          </w:p>
        </w:tc>
      </w:tr>
      <w:tr w14:paraId="5153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3269" w:type="dxa"/>
            <w:shd w:val="clear" w:color="auto" w:fill="auto"/>
            <w:vAlign w:val="center"/>
          </w:tcPr>
          <w:p w14:paraId="328EFD0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en-US"/>
              </w:rPr>
            </w:pPr>
            <w:r>
              <w:rPr>
                <w:rFonts w:hint="default" w:ascii="Times New Roman" w:hAnsi="Times New Roman" w:eastAsia="楷体" w:cs="Times New Roman"/>
                <w:b/>
                <w:bCs/>
                <w:color w:val="auto"/>
                <w:spacing w:val="-2"/>
                <w:sz w:val="20"/>
                <w:szCs w:val="20"/>
                <w:lang w:val="en-US" w:eastAsia="zh-CN"/>
              </w:rPr>
              <w:t>所属专业类</w:t>
            </w:r>
            <w:r>
              <w:rPr>
                <w:rFonts w:hint="eastAsia" w:ascii="Times New Roman" w:hAnsi="Times New Roman" w:eastAsia="楷体" w:cs="Times New Roman"/>
                <w:b/>
                <w:bCs/>
                <w:color w:val="auto"/>
                <w:spacing w:val="-2"/>
                <w:sz w:val="20"/>
                <w:szCs w:val="20"/>
                <w:lang w:val="en-US" w:eastAsia="zh-CN"/>
              </w:rPr>
              <w:t>（</w:t>
            </w:r>
            <w:r>
              <w:rPr>
                <w:rFonts w:hint="default" w:ascii="Times New Roman" w:hAnsi="Times New Roman" w:eastAsia="楷体" w:cs="Times New Roman"/>
                <w:b/>
                <w:bCs/>
                <w:color w:val="auto"/>
                <w:spacing w:val="-2"/>
                <w:sz w:val="20"/>
                <w:szCs w:val="20"/>
                <w:lang w:val="en-US" w:eastAsia="zh-CN"/>
              </w:rPr>
              <w:t>代码</w:t>
            </w:r>
            <w:r>
              <w:rPr>
                <w:rFonts w:hint="eastAsia" w:ascii="Times New Roman" w:hAnsi="Times New Roman" w:eastAsia="楷体" w:cs="Times New Roman"/>
                <w:b/>
                <w:bCs/>
                <w:color w:val="auto"/>
                <w:spacing w:val="-2"/>
                <w:sz w:val="20"/>
                <w:szCs w:val="20"/>
                <w:lang w:val="en-US" w:eastAsia="zh-CN"/>
              </w:rPr>
              <w:t>）</w:t>
            </w:r>
          </w:p>
        </w:tc>
        <w:tc>
          <w:tcPr>
            <w:tcW w:w="5310" w:type="dxa"/>
            <w:shd w:val="clear" w:color="auto" w:fill="auto"/>
            <w:vAlign w:val="center"/>
          </w:tcPr>
          <w:p w14:paraId="0CADE8DD">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临床医学类（5201）</w:t>
            </w:r>
          </w:p>
        </w:tc>
      </w:tr>
      <w:tr w14:paraId="308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3269" w:type="dxa"/>
            <w:shd w:val="clear" w:color="auto" w:fill="auto"/>
            <w:vAlign w:val="center"/>
          </w:tcPr>
          <w:p w14:paraId="33B801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en-US"/>
              </w:rPr>
            </w:pPr>
            <w:r>
              <w:rPr>
                <w:rFonts w:hint="default" w:ascii="Times New Roman" w:hAnsi="Times New Roman" w:eastAsia="楷体" w:cs="Times New Roman"/>
                <w:b/>
                <w:bCs/>
                <w:color w:val="auto"/>
                <w:spacing w:val="-2"/>
                <w:sz w:val="20"/>
                <w:szCs w:val="20"/>
                <w:lang w:val="en-US" w:eastAsia="zh-CN"/>
              </w:rPr>
              <w:t>对应行业</w:t>
            </w:r>
            <w:r>
              <w:rPr>
                <w:rFonts w:hint="eastAsia" w:ascii="Times New Roman" w:hAnsi="Times New Roman" w:eastAsia="楷体" w:cs="Times New Roman"/>
                <w:b/>
                <w:bCs/>
                <w:color w:val="auto"/>
                <w:spacing w:val="-2"/>
                <w:sz w:val="20"/>
                <w:szCs w:val="20"/>
                <w:lang w:val="en-US" w:eastAsia="zh-CN"/>
              </w:rPr>
              <w:t>（</w:t>
            </w:r>
            <w:r>
              <w:rPr>
                <w:rFonts w:hint="default" w:ascii="Times New Roman" w:hAnsi="Times New Roman" w:eastAsia="楷体" w:cs="Times New Roman"/>
                <w:b/>
                <w:bCs/>
                <w:color w:val="auto"/>
                <w:spacing w:val="-2"/>
                <w:sz w:val="20"/>
                <w:szCs w:val="20"/>
                <w:lang w:val="en-US" w:eastAsia="zh-CN"/>
              </w:rPr>
              <w:t>代码</w:t>
            </w:r>
            <w:r>
              <w:rPr>
                <w:rFonts w:hint="eastAsia" w:ascii="Times New Roman" w:hAnsi="Times New Roman" w:eastAsia="楷体" w:cs="Times New Roman"/>
                <w:b/>
                <w:bCs/>
                <w:color w:val="auto"/>
                <w:spacing w:val="-2"/>
                <w:sz w:val="20"/>
                <w:szCs w:val="20"/>
                <w:lang w:val="en-US" w:eastAsia="zh-CN"/>
              </w:rPr>
              <w:t>）</w:t>
            </w:r>
          </w:p>
        </w:tc>
        <w:tc>
          <w:tcPr>
            <w:tcW w:w="5310" w:type="dxa"/>
            <w:shd w:val="clear" w:color="auto" w:fill="auto"/>
            <w:vAlign w:val="center"/>
          </w:tcPr>
          <w:p w14:paraId="29555F1A">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卫生（84）</w:t>
            </w:r>
          </w:p>
        </w:tc>
      </w:tr>
      <w:tr w14:paraId="601F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3269" w:type="dxa"/>
            <w:shd w:val="clear" w:color="auto" w:fill="auto"/>
            <w:vAlign w:val="center"/>
          </w:tcPr>
          <w:p w14:paraId="2F064B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en-US"/>
              </w:rPr>
            </w:pPr>
            <w:r>
              <w:rPr>
                <w:rFonts w:hint="default" w:ascii="Times New Roman" w:hAnsi="Times New Roman" w:eastAsia="楷体" w:cs="Times New Roman"/>
                <w:b/>
                <w:bCs/>
                <w:color w:val="auto"/>
                <w:spacing w:val="-2"/>
                <w:sz w:val="20"/>
                <w:szCs w:val="20"/>
                <w:lang w:val="en-US" w:eastAsia="zh-CN"/>
              </w:rPr>
              <w:t>主要职业类别</w:t>
            </w:r>
            <w:r>
              <w:rPr>
                <w:rFonts w:hint="eastAsia" w:ascii="Times New Roman" w:hAnsi="Times New Roman" w:eastAsia="楷体" w:cs="Times New Roman"/>
                <w:b/>
                <w:bCs/>
                <w:color w:val="auto"/>
                <w:spacing w:val="-2"/>
                <w:sz w:val="20"/>
                <w:szCs w:val="20"/>
                <w:lang w:val="en-US" w:eastAsia="zh-CN"/>
              </w:rPr>
              <w:t>（</w:t>
            </w:r>
            <w:r>
              <w:rPr>
                <w:rFonts w:hint="default" w:ascii="Times New Roman" w:hAnsi="Times New Roman" w:eastAsia="楷体" w:cs="Times New Roman"/>
                <w:b/>
                <w:bCs/>
                <w:color w:val="auto"/>
                <w:spacing w:val="-2"/>
                <w:sz w:val="20"/>
                <w:szCs w:val="20"/>
                <w:lang w:val="en-US" w:eastAsia="zh-CN"/>
              </w:rPr>
              <w:t>代码</w:t>
            </w:r>
            <w:r>
              <w:rPr>
                <w:rFonts w:hint="eastAsia" w:ascii="Times New Roman" w:hAnsi="Times New Roman" w:eastAsia="楷体" w:cs="Times New Roman"/>
                <w:b/>
                <w:bCs/>
                <w:color w:val="auto"/>
                <w:spacing w:val="-2"/>
                <w:sz w:val="20"/>
                <w:szCs w:val="20"/>
                <w:lang w:val="en-US" w:eastAsia="zh-CN"/>
              </w:rPr>
              <w:t>）</w:t>
            </w:r>
          </w:p>
        </w:tc>
        <w:tc>
          <w:tcPr>
            <w:tcW w:w="5310" w:type="dxa"/>
            <w:shd w:val="clear" w:color="auto" w:fill="auto"/>
            <w:vAlign w:val="center"/>
          </w:tcPr>
          <w:p w14:paraId="2E58EB23">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口腔科助理医师（2-05-01-07）</w:t>
            </w:r>
          </w:p>
          <w:p w14:paraId="383FE6D8">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口腔卫生技师（2-05-07-17）</w:t>
            </w:r>
          </w:p>
        </w:tc>
      </w:tr>
      <w:tr w14:paraId="5B59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3269" w:type="dxa"/>
            <w:shd w:val="clear" w:color="auto" w:fill="auto"/>
            <w:vAlign w:val="center"/>
          </w:tcPr>
          <w:p w14:paraId="2C0923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en-US"/>
              </w:rPr>
            </w:pPr>
            <w:r>
              <w:rPr>
                <w:rFonts w:hint="default" w:ascii="Times New Roman" w:hAnsi="Times New Roman" w:eastAsia="楷体" w:cs="Times New Roman"/>
                <w:b/>
                <w:bCs/>
                <w:color w:val="auto"/>
                <w:spacing w:val="-2"/>
                <w:sz w:val="20"/>
                <w:szCs w:val="20"/>
                <w:lang w:val="en-US" w:eastAsia="zh-CN"/>
              </w:rPr>
              <w:t>主要岗位</w:t>
            </w:r>
            <w:r>
              <w:rPr>
                <w:rFonts w:hint="eastAsia" w:ascii="Times New Roman" w:hAnsi="Times New Roman" w:eastAsia="楷体" w:cs="Times New Roman"/>
                <w:b/>
                <w:bCs/>
                <w:color w:val="auto"/>
                <w:spacing w:val="-2"/>
                <w:sz w:val="20"/>
                <w:szCs w:val="20"/>
                <w:lang w:val="en-US" w:eastAsia="zh-CN"/>
              </w:rPr>
              <w:t>（</w:t>
            </w:r>
            <w:r>
              <w:rPr>
                <w:rFonts w:hint="default" w:ascii="Times New Roman" w:hAnsi="Times New Roman" w:eastAsia="楷体" w:cs="Times New Roman"/>
                <w:b/>
                <w:bCs/>
                <w:color w:val="auto"/>
                <w:spacing w:val="-2"/>
                <w:sz w:val="20"/>
                <w:szCs w:val="20"/>
                <w:lang w:val="en-US" w:eastAsia="zh-CN"/>
              </w:rPr>
              <w:t>群</w:t>
            </w:r>
            <w:r>
              <w:rPr>
                <w:rFonts w:hint="eastAsia" w:ascii="Times New Roman" w:hAnsi="Times New Roman" w:eastAsia="楷体" w:cs="Times New Roman"/>
                <w:b/>
                <w:bCs/>
                <w:color w:val="auto"/>
                <w:spacing w:val="-2"/>
                <w:sz w:val="20"/>
                <w:szCs w:val="20"/>
                <w:lang w:val="en-US" w:eastAsia="zh-CN"/>
              </w:rPr>
              <w:t>）</w:t>
            </w:r>
            <w:r>
              <w:rPr>
                <w:rFonts w:hint="default" w:ascii="Times New Roman" w:hAnsi="Times New Roman" w:eastAsia="楷体" w:cs="Times New Roman"/>
                <w:b/>
                <w:bCs/>
                <w:color w:val="auto"/>
                <w:spacing w:val="-2"/>
                <w:sz w:val="20"/>
                <w:szCs w:val="20"/>
                <w:lang w:val="en-US" w:eastAsia="zh-CN"/>
              </w:rPr>
              <w:t>或技术领域</w:t>
            </w:r>
          </w:p>
        </w:tc>
        <w:tc>
          <w:tcPr>
            <w:tcW w:w="5310" w:type="dxa"/>
            <w:shd w:val="clear" w:color="auto" w:fill="auto"/>
            <w:vAlign w:val="center"/>
          </w:tcPr>
          <w:p w14:paraId="4E5D0935">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基层口腔助理医师、口腔医师助手、口腔卫生技师</w:t>
            </w:r>
          </w:p>
        </w:tc>
      </w:tr>
      <w:tr w14:paraId="061A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3269" w:type="dxa"/>
            <w:shd w:val="clear" w:color="auto" w:fill="auto"/>
            <w:vAlign w:val="center"/>
          </w:tcPr>
          <w:p w14:paraId="11EB6F0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en-US"/>
              </w:rPr>
            </w:pPr>
            <w:r>
              <w:rPr>
                <w:rFonts w:hint="default" w:ascii="Times New Roman" w:hAnsi="Times New Roman" w:eastAsia="楷体" w:cs="Times New Roman"/>
                <w:b/>
                <w:bCs/>
                <w:color w:val="auto"/>
                <w:spacing w:val="-2"/>
                <w:sz w:val="20"/>
                <w:szCs w:val="20"/>
                <w:lang w:val="en-US" w:eastAsia="zh-CN"/>
              </w:rPr>
              <w:t>职业类证书</w:t>
            </w:r>
          </w:p>
        </w:tc>
        <w:tc>
          <w:tcPr>
            <w:tcW w:w="5310" w:type="dxa"/>
            <w:shd w:val="clear" w:color="auto" w:fill="auto"/>
            <w:vAlign w:val="center"/>
          </w:tcPr>
          <w:p w14:paraId="524F0B1D">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口腔执业助理医师资格证、口腔卫生技师资格证</w:t>
            </w:r>
          </w:p>
        </w:tc>
      </w:tr>
    </w:tbl>
    <w:p w14:paraId="74DAEE52">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lang w:val="en-US" w:eastAsia="zh-CN"/>
        </w:rPr>
      </w:pPr>
      <w:bookmarkStart w:id="7" w:name="_Toc29818"/>
      <w:r>
        <w:rPr>
          <w:rFonts w:hint="default" w:ascii="Times New Roman" w:hAnsi="Times New Roman" w:cs="Times New Roman"/>
          <w:b/>
          <w:bCs/>
          <w:color w:val="auto"/>
          <w:spacing w:val="4"/>
          <w:lang w:val="en-US" w:eastAsia="zh-CN"/>
        </w:rPr>
        <w:t>（二）就业岗位及相应职业能力描述</w:t>
      </w:r>
      <w:bookmarkEnd w:id="7"/>
    </w:p>
    <w:p w14:paraId="217D22AF">
      <w:pPr>
        <w:keepNext w:val="0"/>
        <w:keepLines w:val="0"/>
        <w:pageBreakBefore w:val="0"/>
        <w:kinsoku/>
        <w:wordWrap/>
        <w:topLinePunct w:val="0"/>
        <w:bidi w:val="0"/>
        <w:spacing w:line="53" w:lineRule="auto"/>
        <w:rPr>
          <w:rFonts w:hint="default" w:ascii="Times New Roman" w:hAnsi="Times New Roman" w:cs="Times New Roman"/>
          <w:color w:val="auto"/>
          <w:sz w:val="2"/>
        </w:rPr>
      </w:pPr>
    </w:p>
    <w:tbl>
      <w:tblPr>
        <w:tblStyle w:val="11"/>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73"/>
        <w:gridCol w:w="2409"/>
        <w:gridCol w:w="2549"/>
        <w:gridCol w:w="1690"/>
      </w:tblGrid>
      <w:tr w14:paraId="24C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714" w:type="dxa"/>
            <w:vAlign w:val="center"/>
          </w:tcPr>
          <w:p w14:paraId="780014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序号</w:t>
            </w:r>
          </w:p>
        </w:tc>
        <w:tc>
          <w:tcPr>
            <w:tcW w:w="1573" w:type="dxa"/>
            <w:vAlign w:val="center"/>
          </w:tcPr>
          <w:p w14:paraId="2D5364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就业岗位</w:t>
            </w:r>
          </w:p>
        </w:tc>
        <w:tc>
          <w:tcPr>
            <w:tcW w:w="2409" w:type="dxa"/>
            <w:vAlign w:val="center"/>
          </w:tcPr>
          <w:p w14:paraId="338256B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岗位描述</w:t>
            </w:r>
          </w:p>
        </w:tc>
        <w:tc>
          <w:tcPr>
            <w:tcW w:w="2549" w:type="dxa"/>
            <w:vAlign w:val="center"/>
          </w:tcPr>
          <w:p w14:paraId="103FE7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职业能力</w:t>
            </w:r>
          </w:p>
        </w:tc>
        <w:tc>
          <w:tcPr>
            <w:tcW w:w="1690" w:type="dxa"/>
            <w:vAlign w:val="center"/>
          </w:tcPr>
          <w:p w14:paraId="54143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职/执业资格</w:t>
            </w:r>
          </w:p>
        </w:tc>
      </w:tr>
      <w:tr w14:paraId="63D2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14" w:type="dxa"/>
            <w:shd w:val="clear" w:color="auto" w:fill="auto"/>
            <w:vAlign w:val="center"/>
          </w:tcPr>
          <w:p w14:paraId="394A6BD0">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1</w:t>
            </w:r>
          </w:p>
        </w:tc>
        <w:tc>
          <w:tcPr>
            <w:tcW w:w="1573" w:type="dxa"/>
            <w:shd w:val="clear" w:color="auto" w:fill="auto"/>
            <w:vAlign w:val="center"/>
          </w:tcPr>
          <w:p w14:paraId="62F06A95">
            <w:pPr>
              <w:keepNext w:val="0"/>
              <w:keepLines w:val="0"/>
              <w:pageBreakBefore w:val="0"/>
              <w:kinsoku/>
              <w:wordWrap/>
              <w:topLinePunct w:val="0"/>
              <w:bidi w:val="0"/>
              <w:jc w:val="center"/>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基层口腔助理</w:t>
            </w:r>
          </w:p>
          <w:p w14:paraId="20129FBD">
            <w:pPr>
              <w:keepNext w:val="0"/>
              <w:keepLines w:val="0"/>
              <w:pageBreakBefore w:val="0"/>
              <w:kinsoku/>
              <w:wordWrap/>
              <w:topLinePunct w:val="0"/>
              <w:bidi w:val="0"/>
              <w:jc w:val="center"/>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医师</w:t>
            </w:r>
          </w:p>
          <w:p w14:paraId="2B85F3A9">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口腔医师助手</w:t>
            </w:r>
          </w:p>
        </w:tc>
        <w:tc>
          <w:tcPr>
            <w:tcW w:w="2409" w:type="dxa"/>
            <w:shd w:val="clear" w:color="auto" w:fill="auto"/>
            <w:vAlign w:val="center"/>
          </w:tcPr>
          <w:p w14:paraId="0EAEE22E">
            <w:pPr>
              <w:keepNext w:val="0"/>
              <w:keepLines w:val="0"/>
              <w:pageBreakBefore w:val="0"/>
              <w:kinsoku/>
              <w:wordWrap/>
              <w:topLinePunct w:val="0"/>
              <w:bidi w:val="0"/>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在基层医院口腔科、口腔专科医院、社区及个体口腔诊所的口腔助理医师岗位从事口腔疾病的诊疗工作</w:t>
            </w:r>
          </w:p>
        </w:tc>
        <w:tc>
          <w:tcPr>
            <w:tcW w:w="2549" w:type="dxa"/>
            <w:shd w:val="clear" w:color="auto" w:fill="auto"/>
            <w:vAlign w:val="center"/>
          </w:tcPr>
          <w:p w14:paraId="0E63FE20">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1.具有口腔常见疾病的诊断和鉴别诊断、治疗、预防能力</w:t>
            </w:r>
          </w:p>
          <w:p w14:paraId="4DE9AB56">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2.具有对口腔危、急、重症病人进行初步处理和及时转诊能力</w:t>
            </w:r>
          </w:p>
          <w:p w14:paraId="50541E5B">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3.具有口腔常见修复体、矫治器设计和制作的能力</w:t>
            </w:r>
          </w:p>
          <w:p w14:paraId="16FAA617">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4.具有正确使用口腔科材料和药物的能力</w:t>
            </w:r>
          </w:p>
          <w:p w14:paraId="68B3B599">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5.具有开展口腔卫生宣教和预防保健的能力</w:t>
            </w:r>
          </w:p>
          <w:p w14:paraId="455CFE37">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6.具有一定的感染控制能力和设备养护能力</w:t>
            </w:r>
          </w:p>
          <w:p w14:paraId="4A6C1A33">
            <w:pPr>
              <w:keepNext w:val="0"/>
              <w:keepLines w:val="0"/>
              <w:pageBreakBefore w:val="0"/>
              <w:kinsoku/>
              <w:wordWrap/>
              <w:topLinePunct w:val="0"/>
              <w:bidi w:val="0"/>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7.具有与患者、患者家属及其他医疗卫生保健人员进行有效沟通的能力</w:t>
            </w:r>
          </w:p>
        </w:tc>
        <w:tc>
          <w:tcPr>
            <w:tcW w:w="1690" w:type="dxa"/>
            <w:shd w:val="clear" w:color="auto" w:fill="auto"/>
            <w:vAlign w:val="center"/>
          </w:tcPr>
          <w:p w14:paraId="04787E5A">
            <w:pPr>
              <w:keepNext w:val="0"/>
              <w:keepLines w:val="0"/>
              <w:pageBreakBefore w:val="0"/>
              <w:kinsoku/>
              <w:wordWrap/>
              <w:topLinePunct w:val="0"/>
              <w:bidi w:val="0"/>
              <w:spacing w:before="72" w:beforeLines="30" w:after="72" w:afterLines="30"/>
              <w:jc w:val="center"/>
              <w:rPr>
                <w:rFonts w:hint="default" w:ascii="Times New Roman" w:hAnsi="Times New Roman" w:eastAsia="楷体" w:cs="Times New Roman"/>
                <w:b/>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口腔执业助理医师资格证</w:t>
            </w:r>
          </w:p>
        </w:tc>
      </w:tr>
      <w:tr w14:paraId="0C98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14" w:type="dxa"/>
            <w:shd w:val="clear" w:color="auto" w:fill="auto"/>
            <w:vAlign w:val="center"/>
          </w:tcPr>
          <w:p w14:paraId="37F60DB0">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2</w:t>
            </w:r>
          </w:p>
        </w:tc>
        <w:tc>
          <w:tcPr>
            <w:tcW w:w="1573" w:type="dxa"/>
            <w:shd w:val="clear" w:color="auto" w:fill="auto"/>
            <w:vAlign w:val="center"/>
          </w:tcPr>
          <w:p w14:paraId="4CE4ACCC">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口腔卫生技师</w:t>
            </w:r>
          </w:p>
        </w:tc>
        <w:tc>
          <w:tcPr>
            <w:tcW w:w="2409" w:type="dxa"/>
            <w:shd w:val="clear" w:color="auto" w:fill="auto"/>
            <w:vAlign w:val="center"/>
          </w:tcPr>
          <w:p w14:paraId="31338564">
            <w:pPr>
              <w:keepNext w:val="0"/>
              <w:keepLines w:val="0"/>
              <w:pageBreakBefore w:val="0"/>
              <w:kinsoku/>
              <w:wordWrap/>
              <w:topLinePunct w:val="0"/>
              <w:bidi w:val="0"/>
              <w:jc w:val="left"/>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在口腔医疗服务单位从事口腔疾病预防、卫生保健、疾病辅助诊疗等口腔卫生服务工作</w:t>
            </w:r>
          </w:p>
        </w:tc>
        <w:tc>
          <w:tcPr>
            <w:tcW w:w="2549" w:type="dxa"/>
            <w:shd w:val="clear" w:color="auto" w:fill="auto"/>
            <w:vAlign w:val="center"/>
          </w:tcPr>
          <w:p w14:paraId="738BF230">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1.具有使用洁治器、刮治器等器具进行口腔洁治或者刮治的能力</w:t>
            </w:r>
          </w:p>
          <w:p w14:paraId="12684B94">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2.具有使用菌斑指示剂、牙刷、洁治器等清除口腔牙菌斑的能力</w:t>
            </w:r>
          </w:p>
          <w:p w14:paraId="0FD29E8F">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3.具有使用防龋涂料、窝沟封闭剂等材料进行口腔防龋和窝沟封闭的能力</w:t>
            </w:r>
          </w:p>
          <w:p w14:paraId="091D9E92">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4.具有使用漂白剂</w:t>
            </w:r>
            <w:r>
              <w:rPr>
                <w:rFonts w:hint="eastAsia" w:ascii="Times New Roman" w:hAnsi="Times New Roman" w:eastAsia="楷体" w:cs="Times New Roman"/>
                <w:color w:val="auto"/>
                <w:sz w:val="20"/>
                <w:szCs w:val="20"/>
                <w:highlight w:val="none"/>
                <w:lang w:eastAsia="zh-CN"/>
              </w:rPr>
              <w:t>对</w:t>
            </w:r>
            <w:r>
              <w:rPr>
                <w:rFonts w:hint="default" w:ascii="Times New Roman" w:hAnsi="Times New Roman" w:eastAsia="楷体" w:cs="Times New Roman"/>
                <w:color w:val="auto"/>
                <w:sz w:val="20"/>
                <w:szCs w:val="20"/>
                <w:highlight w:val="none"/>
              </w:rPr>
              <w:t>口腔牙齿进行漂白的能力</w:t>
            </w:r>
          </w:p>
          <w:p w14:paraId="7F07CD96">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5.具有使用筛查指示剂等对口腔癌症进行筛查的能力</w:t>
            </w:r>
          </w:p>
          <w:p w14:paraId="5FCC9F5E">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6.具有进行牙颌畸形矫治和人工种植牙修复后的口腔卫生维护的能力</w:t>
            </w:r>
          </w:p>
          <w:p w14:paraId="6639D938">
            <w:pPr>
              <w:keepNext w:val="0"/>
              <w:keepLines w:val="0"/>
              <w:pageBreakBefore w:val="0"/>
              <w:kinsoku/>
              <w:wordWrap/>
              <w:topLinePunct w:val="0"/>
              <w:bidi w:val="0"/>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7.具有协助口腔医师进行口腔疾病诊疗的能力</w:t>
            </w:r>
          </w:p>
          <w:p w14:paraId="6970D43C">
            <w:pPr>
              <w:keepNext w:val="0"/>
              <w:keepLines w:val="0"/>
              <w:pageBreakBefore w:val="0"/>
              <w:kinsoku/>
              <w:wordWrap/>
              <w:topLinePunct w:val="0"/>
              <w:bidi w:val="0"/>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8.具有参与口腔流行病学调查的能力</w:t>
            </w:r>
          </w:p>
        </w:tc>
        <w:tc>
          <w:tcPr>
            <w:tcW w:w="1690" w:type="dxa"/>
            <w:shd w:val="clear" w:color="auto" w:fill="auto"/>
            <w:vAlign w:val="center"/>
          </w:tcPr>
          <w:p w14:paraId="2694EF40">
            <w:pPr>
              <w:keepNext w:val="0"/>
              <w:keepLines w:val="0"/>
              <w:pageBreakBefore w:val="0"/>
              <w:kinsoku/>
              <w:wordWrap/>
              <w:topLinePunct w:val="0"/>
              <w:bidi w:val="0"/>
              <w:jc w:val="center"/>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口腔卫生技师</w:t>
            </w:r>
          </w:p>
          <w:p w14:paraId="5DA7CD8E">
            <w:pPr>
              <w:keepNext w:val="0"/>
              <w:keepLines w:val="0"/>
              <w:pageBreakBefore w:val="0"/>
              <w:kinsoku/>
              <w:wordWrap/>
              <w:topLinePunct w:val="0"/>
              <w:bidi w:val="0"/>
              <w:jc w:val="center"/>
              <w:rPr>
                <w:rFonts w:hint="default" w:ascii="Times New Roman" w:hAnsi="Times New Roman" w:eastAsia="楷体" w:cs="Times New Roman"/>
                <w:b/>
                <w:snapToGrid w:val="0"/>
                <w:color w:val="auto"/>
                <w:kern w:val="0"/>
                <w:sz w:val="20"/>
                <w:szCs w:val="20"/>
                <w:highlight w:val="none"/>
                <w:shd w:val="clear" w:color="auto" w:fill="F3F3F3"/>
                <w:lang w:val="en-US" w:eastAsia="en-US" w:bidi="ar-SA"/>
              </w:rPr>
            </w:pPr>
            <w:r>
              <w:rPr>
                <w:rFonts w:hint="default" w:ascii="Times New Roman" w:hAnsi="Times New Roman" w:eastAsia="楷体" w:cs="Times New Roman"/>
                <w:color w:val="auto"/>
                <w:sz w:val="20"/>
                <w:szCs w:val="20"/>
                <w:highlight w:val="none"/>
              </w:rPr>
              <w:t>资格证</w:t>
            </w:r>
          </w:p>
        </w:tc>
      </w:tr>
      <w:tr w14:paraId="6EC6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714" w:type="dxa"/>
            <w:shd w:val="clear" w:color="auto" w:fill="auto"/>
            <w:vAlign w:val="center"/>
          </w:tcPr>
          <w:p w14:paraId="20EEF97F">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 xml:space="preserve">3 </w:t>
            </w:r>
          </w:p>
        </w:tc>
        <w:tc>
          <w:tcPr>
            <w:tcW w:w="1573" w:type="dxa"/>
            <w:shd w:val="clear" w:color="auto" w:fill="auto"/>
            <w:vAlign w:val="center"/>
          </w:tcPr>
          <w:p w14:paraId="1AB419C9">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highlight w:val="none"/>
              </w:rPr>
              <w:t>口腔技师</w:t>
            </w:r>
          </w:p>
        </w:tc>
        <w:tc>
          <w:tcPr>
            <w:tcW w:w="2409" w:type="dxa"/>
            <w:shd w:val="clear" w:color="auto" w:fill="auto"/>
            <w:vAlign w:val="center"/>
          </w:tcPr>
          <w:p w14:paraId="302702F1">
            <w:pPr>
              <w:keepNext w:val="0"/>
              <w:keepLines w:val="0"/>
              <w:pageBreakBefore w:val="0"/>
              <w:kinsoku/>
              <w:wordWrap/>
              <w:topLinePunct w:val="0"/>
              <w:bidi w:val="0"/>
              <w:jc w:val="left"/>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在各级各类医院口腔科技工室、口腔诊所、义齿加工企业的义齿制作岗位从事口腔各类修复体、矫治器、赝复体制作等工作</w:t>
            </w:r>
          </w:p>
        </w:tc>
        <w:tc>
          <w:tcPr>
            <w:tcW w:w="2549" w:type="dxa"/>
            <w:shd w:val="clear" w:color="auto" w:fill="auto"/>
            <w:vAlign w:val="center"/>
          </w:tcPr>
          <w:p w14:paraId="111AAEC6">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1.掌握素描的基本方法，具有一定的美学知识</w:t>
            </w:r>
          </w:p>
          <w:p w14:paraId="1A4D58C3">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2.具有识别和辨认各个牙齿并能熟练雕刻的能力</w:t>
            </w:r>
          </w:p>
          <w:p w14:paraId="7810A8CB">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3.具有合理选择、 正确使用口腔材料、制品和口腔器械的能力</w:t>
            </w:r>
          </w:p>
          <w:p w14:paraId="5C77AC3D">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4.具有熟练制作全口义齿、可摘局部义齿及固定义齿的能力</w:t>
            </w:r>
          </w:p>
          <w:p w14:paraId="5E0C714F">
            <w:pPr>
              <w:keepNext w:val="0"/>
              <w:keepLines w:val="0"/>
              <w:pageBreakBefore w:val="0"/>
              <w:kinsoku/>
              <w:wordWrap/>
              <w:topLinePunct w:val="0"/>
              <w:bidi w:val="0"/>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5.具有较强的专业服务意识和质量意识</w:t>
            </w:r>
            <w:r>
              <w:rPr>
                <w:rFonts w:hint="eastAsia" w:ascii="Times New Roman" w:hAnsi="Times New Roman" w:eastAsia="楷体" w:cs="Times New Roman"/>
                <w:color w:val="auto"/>
                <w:sz w:val="20"/>
                <w:szCs w:val="20"/>
                <w:lang w:eastAsia="zh-CN"/>
              </w:rPr>
              <w:t>，具</w:t>
            </w:r>
            <w:r>
              <w:rPr>
                <w:rFonts w:hint="default" w:ascii="Times New Roman" w:hAnsi="Times New Roman" w:eastAsia="楷体" w:cs="Times New Roman"/>
                <w:color w:val="auto"/>
                <w:sz w:val="20"/>
                <w:szCs w:val="20"/>
              </w:rPr>
              <w:t>有良好的医技沟通能力</w:t>
            </w:r>
          </w:p>
        </w:tc>
        <w:tc>
          <w:tcPr>
            <w:tcW w:w="1690" w:type="dxa"/>
            <w:shd w:val="clear" w:color="auto" w:fill="auto"/>
            <w:vAlign w:val="center"/>
          </w:tcPr>
          <w:p w14:paraId="1F87EEF9">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1.口腔修复工</w:t>
            </w:r>
          </w:p>
          <w:p w14:paraId="4EF02C3A">
            <w:pPr>
              <w:keepNext w:val="0"/>
              <w:keepLines w:val="0"/>
              <w:pageBreakBefore w:val="0"/>
              <w:kinsoku/>
              <w:wordWrap/>
              <w:topLinePunct w:val="0"/>
              <w:bidi w:val="0"/>
              <w:jc w:val="center"/>
              <w:rPr>
                <w:rFonts w:hint="default" w:ascii="Times New Roman" w:hAnsi="Times New Roman" w:eastAsia="楷体" w:cs="Times New Roman"/>
                <w:b/>
                <w:snapToGrid w:val="0"/>
                <w:color w:val="auto"/>
                <w:kern w:val="0"/>
                <w:sz w:val="20"/>
                <w:szCs w:val="20"/>
                <w:shd w:val="clear" w:color="auto" w:fill="F3F3F3"/>
                <w:lang w:val="en-US" w:eastAsia="en-US" w:bidi="ar-SA"/>
              </w:rPr>
            </w:pPr>
            <w:r>
              <w:rPr>
                <w:rFonts w:hint="default" w:ascii="Times New Roman" w:hAnsi="Times New Roman" w:eastAsia="楷体" w:cs="Times New Roman"/>
                <w:color w:val="auto"/>
                <w:sz w:val="20"/>
                <w:szCs w:val="20"/>
              </w:rPr>
              <w:t>2.口腔技士资格证</w:t>
            </w:r>
          </w:p>
        </w:tc>
      </w:tr>
      <w:tr w14:paraId="0610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714" w:type="dxa"/>
            <w:shd w:val="clear" w:color="auto" w:fill="auto"/>
            <w:vAlign w:val="center"/>
          </w:tcPr>
          <w:p w14:paraId="45A10F6E">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4</w:t>
            </w:r>
          </w:p>
        </w:tc>
        <w:tc>
          <w:tcPr>
            <w:tcW w:w="1573" w:type="dxa"/>
            <w:shd w:val="clear" w:color="auto" w:fill="auto"/>
            <w:vAlign w:val="center"/>
          </w:tcPr>
          <w:p w14:paraId="006AF87A">
            <w:pPr>
              <w:keepNext w:val="0"/>
              <w:keepLines w:val="0"/>
              <w:pageBreakBefore w:val="0"/>
              <w:kinsoku/>
              <w:wordWrap/>
              <w:topLinePunct w:val="0"/>
              <w:bidi w:val="0"/>
              <w:jc w:val="center"/>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highlight w:val="none"/>
              </w:rPr>
              <w:t>牙科器材销售</w:t>
            </w:r>
          </w:p>
        </w:tc>
        <w:tc>
          <w:tcPr>
            <w:tcW w:w="2409" w:type="dxa"/>
            <w:shd w:val="clear" w:color="auto" w:fill="auto"/>
            <w:vAlign w:val="center"/>
          </w:tcPr>
          <w:p w14:paraId="6A35F025">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在口腔仪器、设备及材料等生产企业的销售岗位从事营销工作</w:t>
            </w:r>
          </w:p>
          <w:p w14:paraId="374973D7">
            <w:pPr>
              <w:keepNext w:val="0"/>
              <w:keepLines w:val="0"/>
              <w:pageBreakBefore w:val="0"/>
              <w:kinsoku/>
              <w:wordWrap/>
              <w:topLinePunct w:val="0"/>
              <w:bidi w:val="0"/>
              <w:jc w:val="left"/>
              <w:rPr>
                <w:rFonts w:hint="default" w:ascii="Times New Roman" w:hAnsi="Times New Roman" w:eastAsia="楷体" w:cs="Times New Roman"/>
                <w:snapToGrid w:val="0"/>
                <w:color w:val="auto"/>
                <w:kern w:val="0"/>
                <w:sz w:val="20"/>
                <w:szCs w:val="20"/>
                <w:lang w:val="en-US" w:eastAsia="en-US" w:bidi="ar-SA"/>
              </w:rPr>
            </w:pPr>
          </w:p>
        </w:tc>
        <w:tc>
          <w:tcPr>
            <w:tcW w:w="2549" w:type="dxa"/>
            <w:shd w:val="clear" w:color="auto" w:fill="auto"/>
            <w:vAlign w:val="center"/>
          </w:tcPr>
          <w:p w14:paraId="7EFA4EB9">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1.具有一定牙体、牙列缺损及缺失修复的基本理论</w:t>
            </w:r>
          </w:p>
          <w:p w14:paraId="12806032">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2.具有常见口腔各类修复体制作能力</w:t>
            </w:r>
          </w:p>
          <w:p w14:paraId="47D327F9">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3.具有义齿制作所需要的口腔材料学、设备学等理论知识</w:t>
            </w:r>
          </w:p>
          <w:p w14:paraId="5A446955">
            <w:pPr>
              <w:keepNext w:val="0"/>
              <w:keepLines w:val="0"/>
              <w:pageBreakBefore w:val="0"/>
              <w:kinsoku/>
              <w:wordWrap/>
              <w:topLinePunct w:val="0"/>
              <w:bidi w:val="0"/>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4.具有一定的口腔科常见设备的维护和保养能力</w:t>
            </w:r>
          </w:p>
          <w:p w14:paraId="3A809038">
            <w:pPr>
              <w:keepNext w:val="0"/>
              <w:keepLines w:val="0"/>
              <w:pageBreakBefore w:val="0"/>
              <w:kinsoku/>
              <w:wordWrap/>
              <w:topLinePunct w:val="0"/>
              <w:bidi w:val="0"/>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5.具有较强的专业服务意识和质量意识，能与服务对象进行有效沟通</w:t>
            </w:r>
          </w:p>
        </w:tc>
        <w:tc>
          <w:tcPr>
            <w:tcW w:w="1690" w:type="dxa"/>
            <w:shd w:val="clear" w:color="auto" w:fill="auto"/>
            <w:vAlign w:val="center"/>
          </w:tcPr>
          <w:p w14:paraId="1201ADD4">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1.口腔修复工</w:t>
            </w:r>
          </w:p>
          <w:p w14:paraId="54C6E325">
            <w:pPr>
              <w:keepNext w:val="0"/>
              <w:keepLines w:val="0"/>
              <w:pageBreakBefore w:val="0"/>
              <w:kinsoku/>
              <w:wordWrap/>
              <w:topLinePunct w:val="0"/>
              <w:bidi w:val="0"/>
              <w:spacing w:before="72" w:beforeLines="30" w:after="72" w:afterLines="30"/>
              <w:jc w:val="center"/>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2.口腔技士资格证</w:t>
            </w:r>
          </w:p>
        </w:tc>
      </w:tr>
    </w:tbl>
    <w:p w14:paraId="69125CC7">
      <w:pPr>
        <w:keepNext w:val="0"/>
        <w:keepLines w:val="0"/>
        <w:pageBreakBefore w:val="0"/>
        <w:kinsoku/>
        <w:wordWrap/>
        <w:topLinePunct w:val="0"/>
        <w:bidi w:val="0"/>
        <w:rPr>
          <w:rFonts w:hint="default" w:ascii="Times New Roman" w:hAnsi="Times New Roman" w:cs="Times New Roman"/>
          <w:color w:val="auto"/>
          <w:sz w:val="21"/>
        </w:rPr>
      </w:pPr>
    </w:p>
    <w:p w14:paraId="5F910D83">
      <w:pPr>
        <w:pStyle w:val="5"/>
        <w:keepNext w:val="0"/>
        <w:keepLines w:val="0"/>
        <w:pageBreakBefore w:val="0"/>
        <w:kinsoku/>
        <w:wordWrap/>
        <w:topLinePunct w:val="0"/>
        <w:bidi w:val="0"/>
        <w:spacing w:before="101" w:line="226" w:lineRule="auto"/>
        <w:ind w:left="779"/>
        <w:rPr>
          <w:rFonts w:hint="default" w:ascii="Times New Roman" w:hAnsi="Times New Roman" w:cs="Times New Roman"/>
          <w:b/>
          <w:bCs/>
          <w:color w:val="auto"/>
          <w:spacing w:val="5"/>
        </w:rPr>
      </w:pPr>
    </w:p>
    <w:p w14:paraId="1004D80D">
      <w:pPr>
        <w:pStyle w:val="2"/>
        <w:bidi w:val="0"/>
        <w:rPr>
          <w:rFonts w:hint="default" w:ascii="Times New Roman" w:hAnsi="Times New Roman" w:cs="Times New Roman"/>
        </w:rPr>
      </w:pPr>
      <w:bookmarkStart w:id="8" w:name="_Toc32510"/>
      <w:r>
        <w:rPr>
          <w:rFonts w:hint="default" w:ascii="Times New Roman" w:hAnsi="Times New Roman" w:cs="Times New Roman"/>
        </w:rPr>
        <w:t>五、培养目标及培养规格</w:t>
      </w:r>
      <w:bookmarkEnd w:id="8"/>
    </w:p>
    <w:p w14:paraId="7F799440">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9" w:name="_Toc13437"/>
      <w:r>
        <w:rPr>
          <w:rFonts w:hint="default"/>
          <w:b/>
        </w:rPr>
        <w:t>（一）培养目标</w:t>
      </w:r>
      <w:bookmarkEnd w:id="9"/>
    </w:p>
    <w:p w14:paraId="28999DE6">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Times New Roman" w:hAnsi="Times New Roman" w:cs="Times New Roman"/>
          <w:color w:val="auto"/>
          <w:spacing w:val="8"/>
          <w:sz w:val="31"/>
          <w:szCs w:val="31"/>
          <w:lang w:val="en-US" w:eastAsia="zh-CN"/>
        </w:rPr>
      </w:pPr>
      <w:r>
        <w:rPr>
          <w:rFonts w:hint="default" w:ascii="仿宋_GB2312" w:eastAsia="仿宋_GB2312"/>
          <w:b w:val="0"/>
          <w:bCs/>
          <w:color w:val="000000" w:themeColor="text1"/>
          <w:sz w:val="28"/>
          <w:szCs w:val="28"/>
          <w:lang w:val="en-US" w:eastAsia="zh-CN"/>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敬佑生命、救死扶伤、甘于奉献、大爱无疆的职业精神，较强的就业创业能力和可持续发展的能力，掌握本专业知识和技术技能，具备职业综合素质和行动能力，面向基层卫生行业的口腔助理医师等职业，能够从事口腔常见病、多发病的基本诊疗、预防工作的高技能医学人才。</w:t>
      </w:r>
      <w:r>
        <w:rPr>
          <w:rFonts w:hint="default" w:ascii="Times New Roman" w:hAnsi="Times New Roman" w:cs="Times New Roman"/>
          <w:color w:val="auto"/>
          <w:spacing w:val="8"/>
          <w:sz w:val="31"/>
          <w:szCs w:val="31"/>
          <w:lang w:val="en-US" w:eastAsia="zh-CN"/>
        </w:rPr>
        <w:t xml:space="preserve">  </w:t>
      </w:r>
    </w:p>
    <w:p w14:paraId="220669C7">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lang w:val="en-US" w:eastAsia="zh-CN"/>
        </w:rPr>
      </w:pPr>
      <w:bookmarkStart w:id="10" w:name="_Toc8267"/>
      <w:r>
        <w:rPr>
          <w:rFonts w:hint="eastAsia"/>
          <w:b/>
          <w:lang w:eastAsia="zh-CN"/>
        </w:rPr>
        <w:t>（</w:t>
      </w:r>
      <w:r>
        <w:rPr>
          <w:rFonts w:hint="eastAsia"/>
          <w:b/>
          <w:lang w:val="en-US" w:eastAsia="zh-CN"/>
        </w:rPr>
        <w:t>二</w:t>
      </w:r>
      <w:r>
        <w:rPr>
          <w:rFonts w:hint="eastAsia"/>
          <w:b/>
          <w:lang w:eastAsia="zh-CN"/>
        </w:rPr>
        <w:t>）</w:t>
      </w:r>
      <w:r>
        <w:rPr>
          <w:rFonts w:hint="default"/>
          <w:b/>
        </w:rPr>
        <w:t>培养</w:t>
      </w:r>
      <w:r>
        <w:rPr>
          <w:rFonts w:hint="default"/>
          <w:b/>
          <w:lang w:val="en-US" w:eastAsia="zh-CN"/>
        </w:rPr>
        <w:t>规格</w:t>
      </w:r>
      <w:bookmarkEnd w:id="10"/>
      <w:bookmarkStart w:id="11" w:name="_Toc21935"/>
    </w:p>
    <w:p w14:paraId="5F950D03">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本专业学生应在系统学习本专业知识并完成有关实习实训基础上，全面提升知识、能力、素质，掌握并实际运用岗位（群）需要的专业核心技术技能，实现德智体美劳全面发展，总体上须达到以下要求：</w:t>
      </w:r>
    </w:p>
    <w:p w14:paraId="5B74A7A3">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（1）坚定拥护中国共产党领导和中国特色社会主义制度，以习近平新时代中国特色社会主义思想为指导，践行社会主义核心价值观，具有坚定的理想信念、深厚的爱国情感和中华民族自豪感；</w:t>
      </w:r>
    </w:p>
    <w:p w14:paraId="754DB4EF">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2）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3FB42CB2">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（3）掌握支撑本专业学习和可持续发展必备的语文、数学、外语（英语等）、信息技术等文化基础知识，具有良好的人文素养与科学素养，具备职业生涯规划能力；</w:t>
      </w:r>
    </w:p>
    <w:p w14:paraId="040D6CC2">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（4）具有良好的语言表达能力、文字表达能力、沟通合作能力，具有较强的集体意识和团队合作意识，学习 1 门外语并结合本专业加以运用；</w:t>
      </w:r>
    </w:p>
    <w:p w14:paraId="3089D05E">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（5）掌握口腔临床工作所必需的基础医学、临床医学、口腔医学的基本理论知识；</w:t>
      </w:r>
    </w:p>
    <w:p w14:paraId="27FF7DD5">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（6）具备口腔临床基本诊疗技术技能，能够对口腔常见病、多发病进行基本诊断与治疗；</w:t>
      </w:r>
    </w:p>
    <w:p w14:paraId="35A3EF45">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（7）掌握一定的口腔颌面医学影像诊断知识，能够应用影像学及数字化手段辅助诊治口腔常见疾病；</w:t>
      </w:r>
    </w:p>
    <w:p w14:paraId="287DB9CB">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（8）掌握口腔公共卫生服务的基本知识，能够进行口腔常见疾病的预防、筛查和科普教育；</w:t>
      </w:r>
    </w:p>
    <w:p w14:paraId="642F55AA">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（9）掌握口腔医疗工作必需的临床急救知识和技能，能够对突发危、急、重症的口腔科病人进行初步处理和及时转诊；</w:t>
      </w:r>
    </w:p>
    <w:p w14:paraId="7C9A97AE">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（10）掌握信息技术基础知识，具有适应本领域数字化和智能化发展需求的数字技能；</w:t>
      </w:r>
    </w:p>
    <w:p w14:paraId="72635EDC">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（11）具有探究学习、终身学习和可持续发展的能力，具有整合知识和综合运用知识分析问题和解决问题的能力；</w:t>
      </w:r>
    </w:p>
    <w:p w14:paraId="0BF626D4">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（12）掌握身体运动的基本知识和至少 1 项体育运动技能，达到国家大学生体质健康测试合格标准，养成良好的运动习惯、卫生习惯和行为习惯；具备一定的心理调适能力；</w:t>
      </w:r>
    </w:p>
    <w:p w14:paraId="744CC27A">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（13）掌握必备的美育知识，具有一定的文化修养、审美能力，形成至少 1 项艺术特长或爱好；</w:t>
      </w:r>
    </w:p>
    <w:p w14:paraId="27EBC6F5">
      <w:pPr>
        <w:pStyle w:val="5"/>
        <w:keepNext w:val="0"/>
        <w:keepLines w:val="0"/>
        <w:pageBreakBefore w:val="0"/>
        <w:widowControl/>
        <w:kinsoku/>
        <w:wordWrap/>
        <w:overflowPunct/>
        <w:topLinePunct w:val="0"/>
        <w:autoSpaceDE w:val="0"/>
        <w:autoSpaceDN w:val="0"/>
        <w:bidi w:val="0"/>
        <w:adjustRightInd w:val="0"/>
        <w:snapToGrid w:val="0"/>
        <w:spacing w:line="320" w:lineRule="auto"/>
        <w:ind w:left="0" w:right="0" w:firstLine="560" w:firstLineChars="200"/>
        <w:textAlignment w:val="baseline"/>
        <w:rPr>
          <w:rFonts w:hint="default" w:ascii="仿宋_GB2312" w:eastAsia="仿宋_GB2312"/>
          <w:b w:val="0"/>
          <w:bCs/>
          <w:color w:val="000000" w:themeColor="text1"/>
          <w:sz w:val="28"/>
          <w:szCs w:val="28"/>
          <w:lang w:val="en-US" w:eastAsia="zh-CN"/>
          <w14:textFill>
            <w14:solidFill>
              <w14:schemeClr w14:val="tx1"/>
            </w14:solidFill>
          </w14:textFill>
        </w:rPr>
      </w:pPr>
      <w:r>
        <w:rPr>
          <w:rFonts w:hint="default" w:ascii="仿宋_GB2312" w:eastAsia="仿宋_GB2312"/>
          <w:b w:val="0"/>
          <w:bCs/>
          <w:color w:val="000000" w:themeColor="text1"/>
          <w:sz w:val="28"/>
          <w:szCs w:val="28"/>
          <w:lang w:val="en-US" w:eastAsia="zh-CN"/>
          <w14:textFill>
            <w14:solidFill>
              <w14:schemeClr w14:val="tx1"/>
            </w14:solidFill>
          </w14:textFill>
        </w:rPr>
        <w:t>（14）树立正确的劳动观，尊重劳动，热爱劳动，具备与本专业职业发展相适应的劳动素养，弘扬劳模精神、劳动精神、工匠精神，弘扬劳动光荣、技能宝贵、创造伟大的时代风尚。</w:t>
      </w:r>
    </w:p>
    <w:p w14:paraId="7FA5490A">
      <w:pPr>
        <w:pStyle w:val="2"/>
        <w:bidi w:val="0"/>
        <w:rPr>
          <w:rFonts w:hint="default" w:ascii="Times New Roman" w:hAnsi="Times New Roman" w:cs="Times New Roman"/>
        </w:rPr>
      </w:pPr>
      <w:r>
        <w:rPr>
          <w:rFonts w:hint="default" w:ascii="Times New Roman" w:hAnsi="Times New Roman" w:cs="Times New Roman"/>
        </w:rPr>
        <w:t>六、课程设置及要求</w:t>
      </w:r>
      <w:bookmarkEnd w:id="11"/>
    </w:p>
    <w:p w14:paraId="4D8231C7">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color w:val="auto"/>
        </w:rPr>
      </w:pPr>
      <w:bookmarkStart w:id="12" w:name="_Toc12811"/>
      <w:r>
        <w:rPr>
          <w:rFonts w:hint="default" w:ascii="Times New Roman" w:hAnsi="Times New Roman" w:cs="Times New Roman"/>
          <w:b/>
          <w:bCs/>
          <w:color w:val="auto"/>
          <w:spacing w:val="4"/>
        </w:rPr>
        <w:t>（一）公共基础课程</w:t>
      </w:r>
      <w:bookmarkEnd w:id="12"/>
    </w:p>
    <w:p w14:paraId="00A54221">
      <w:pPr>
        <w:keepNext w:val="0"/>
        <w:keepLines w:val="0"/>
        <w:pageBreakBefore w:val="0"/>
        <w:kinsoku/>
        <w:wordWrap/>
        <w:topLinePunct w:val="0"/>
        <w:bidi w:val="0"/>
        <w:spacing w:line="44" w:lineRule="auto"/>
        <w:rPr>
          <w:rFonts w:hint="default" w:ascii="Times New Roman" w:hAnsi="Times New Roman" w:cs="Times New Roman"/>
          <w:color w:val="auto"/>
          <w:sz w:val="2"/>
        </w:rPr>
      </w:pPr>
    </w:p>
    <w:tbl>
      <w:tblPr>
        <w:tblStyle w:val="11"/>
        <w:tblW w:w="97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
        <w:gridCol w:w="1237"/>
        <w:gridCol w:w="2339"/>
        <w:gridCol w:w="2402"/>
        <w:gridCol w:w="3306"/>
      </w:tblGrid>
      <w:tr w14:paraId="0045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450" w:type="dxa"/>
            <w:vAlign w:val="center"/>
          </w:tcPr>
          <w:p w14:paraId="7AE236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序号</w:t>
            </w:r>
          </w:p>
        </w:tc>
        <w:tc>
          <w:tcPr>
            <w:tcW w:w="1237" w:type="dxa"/>
            <w:vAlign w:val="center"/>
          </w:tcPr>
          <w:p w14:paraId="264A76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课程名称</w:t>
            </w:r>
          </w:p>
        </w:tc>
        <w:tc>
          <w:tcPr>
            <w:tcW w:w="2339" w:type="dxa"/>
            <w:vAlign w:val="center"/>
          </w:tcPr>
          <w:p w14:paraId="299A13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课程目标</w:t>
            </w:r>
          </w:p>
        </w:tc>
        <w:tc>
          <w:tcPr>
            <w:tcW w:w="2402" w:type="dxa"/>
            <w:vAlign w:val="center"/>
          </w:tcPr>
          <w:p w14:paraId="70D96B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教学内容</w:t>
            </w:r>
          </w:p>
        </w:tc>
        <w:tc>
          <w:tcPr>
            <w:tcW w:w="3306" w:type="dxa"/>
            <w:vAlign w:val="center"/>
          </w:tcPr>
          <w:p w14:paraId="2EB3AB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教学要求</w:t>
            </w:r>
          </w:p>
        </w:tc>
      </w:tr>
      <w:tr w14:paraId="0600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50" w:type="dxa"/>
            <w:shd w:val="clear" w:color="auto" w:fill="auto"/>
            <w:vAlign w:val="center"/>
          </w:tcPr>
          <w:p w14:paraId="0F920D99">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w:t>
            </w:r>
          </w:p>
        </w:tc>
        <w:tc>
          <w:tcPr>
            <w:tcW w:w="1237" w:type="dxa"/>
            <w:shd w:val="clear" w:color="auto" w:fill="auto"/>
            <w:vAlign w:val="center"/>
          </w:tcPr>
          <w:p w14:paraId="0AD986D0">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思想道德与法治</w:t>
            </w:r>
          </w:p>
        </w:tc>
        <w:tc>
          <w:tcPr>
            <w:tcW w:w="2339" w:type="dxa"/>
            <w:shd w:val="clear" w:color="auto" w:fill="auto"/>
            <w:vAlign w:val="top"/>
          </w:tcPr>
          <w:p w14:paraId="5D85A149">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p>
          <w:p w14:paraId="059A0000">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1.掌握马克思主义的</w:t>
            </w:r>
            <w:r>
              <w:rPr>
                <w:rFonts w:hint="eastAsia" w:ascii="Times New Roman" w:hAnsi="Times New Roman" w:eastAsia="楷体" w:cs="Times New Roman"/>
                <w:color w:val="auto"/>
                <w:sz w:val="20"/>
                <w:szCs w:val="20"/>
                <w:lang w:val="en-US" w:eastAsia="zh-CN"/>
              </w:rPr>
              <w:t>世界观、人生观、价值观</w:t>
            </w:r>
            <w:r>
              <w:rPr>
                <w:rFonts w:hint="default" w:ascii="Times New Roman" w:hAnsi="Times New Roman" w:eastAsia="楷体" w:cs="Times New Roman"/>
                <w:color w:val="auto"/>
                <w:sz w:val="20"/>
                <w:szCs w:val="20"/>
                <w:lang w:val="en-US" w:eastAsia="zh-CN"/>
              </w:rPr>
              <w:t>、道德观、法治观，坚定理想信念，弘扬中国精神；</w:t>
            </w:r>
          </w:p>
          <w:p w14:paraId="0F903266">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2.能运用马克思主义基本观点正确认识分析人生成长中的道德法治问题，</w:t>
            </w:r>
            <w:r>
              <w:rPr>
                <w:rFonts w:hint="eastAsia" w:ascii="Times New Roman" w:hAnsi="Times New Roman" w:eastAsia="楷体" w:cs="Times New Roman"/>
                <w:color w:val="auto"/>
                <w:sz w:val="20"/>
                <w:szCs w:val="20"/>
                <w:lang w:val="en-US" w:eastAsia="zh-CN"/>
              </w:rPr>
              <w:t>培育和践行社会主义核心价值观</w:t>
            </w:r>
            <w:r>
              <w:rPr>
                <w:rFonts w:hint="default" w:ascii="Times New Roman" w:hAnsi="Times New Roman" w:eastAsia="楷体" w:cs="Times New Roman"/>
                <w:color w:val="auto"/>
                <w:sz w:val="20"/>
                <w:szCs w:val="20"/>
                <w:lang w:val="en-US" w:eastAsia="zh-CN"/>
              </w:rPr>
              <w:t xml:space="preserve">，传承中华传统美德，提升思想道德素质和法治素养； </w:t>
            </w:r>
          </w:p>
          <w:p w14:paraId="41FACFC2">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3.树立成长为</w:t>
            </w:r>
            <w:r>
              <w:rPr>
                <w:rFonts w:hint="eastAsia" w:ascii="Times New Roman" w:hAnsi="Times New Roman" w:eastAsia="楷体" w:cs="Times New Roman"/>
                <w:color w:val="auto"/>
                <w:sz w:val="20"/>
                <w:szCs w:val="20"/>
                <w:lang w:val="en-US" w:eastAsia="zh-CN"/>
              </w:rPr>
              <w:t>担当民族复兴大任的时代新人</w:t>
            </w:r>
            <w:r>
              <w:rPr>
                <w:rFonts w:hint="default" w:ascii="Times New Roman" w:hAnsi="Times New Roman" w:eastAsia="楷体" w:cs="Times New Roman"/>
                <w:color w:val="auto"/>
                <w:sz w:val="20"/>
                <w:szCs w:val="20"/>
                <w:lang w:val="en-US" w:eastAsia="zh-CN"/>
              </w:rPr>
              <w:t>自觉意识，以强国有我的使命主动投身于社会主义现代化建设新征程</w:t>
            </w:r>
          </w:p>
          <w:p w14:paraId="6EE99963">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c>
          <w:tcPr>
            <w:tcW w:w="2402" w:type="dxa"/>
            <w:shd w:val="clear" w:color="auto" w:fill="auto"/>
            <w:vAlign w:val="center"/>
          </w:tcPr>
          <w:p w14:paraId="3A826A45">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p>
          <w:p w14:paraId="12D20B74">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针对大学生成长过程中面临的思想道德和法律问题，进行马克思主义的世界观、人生观、价值观、道德观、法治观教育，提高学生的思想道德素质和法治素养。内容包括成就</w:t>
            </w:r>
            <w:r>
              <w:rPr>
                <w:rFonts w:hint="eastAsia" w:ascii="Times New Roman" w:hAnsi="Times New Roman" w:eastAsia="楷体" w:cs="Times New Roman"/>
                <w:color w:val="auto"/>
                <w:sz w:val="20"/>
                <w:szCs w:val="20"/>
                <w:lang w:val="en-US" w:eastAsia="zh-CN"/>
              </w:rPr>
              <w:t>担当民族复兴大任的时代新人</w:t>
            </w:r>
            <w:r>
              <w:rPr>
                <w:rFonts w:hint="default" w:ascii="Times New Roman" w:hAnsi="Times New Roman" w:eastAsia="楷体" w:cs="Times New Roman"/>
                <w:color w:val="auto"/>
                <w:sz w:val="20"/>
                <w:szCs w:val="20"/>
                <w:lang w:val="en-US" w:eastAsia="zh-CN"/>
              </w:rPr>
              <w:t>；领悟人生真谛把握人生方向；追求远大理想坚定崇高信念；继承优良传统弘扬中国精神；明确价值要求践行价值准则；遵守道德规范锤炼道德品格；学习法治思想提升法治素养</w:t>
            </w:r>
          </w:p>
        </w:tc>
        <w:tc>
          <w:tcPr>
            <w:tcW w:w="3306" w:type="dxa"/>
            <w:shd w:val="clear" w:color="auto" w:fill="auto"/>
            <w:vAlign w:val="top"/>
          </w:tcPr>
          <w:p w14:paraId="75E21369">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以落实立德树人根本任务为目的，将培育学生的学科核心素养贯穿于教学活动全过程。坚持正确育人导向，强化价值引领，科学制定教学目标，注重探讨式和体验性学习，加强社会实践活动。教学设计要紧密结合各章节教学目标和教学内容，有重难点的开展教学活动，教学方式要采用多媒体课堂教学与课外实践教学相结合。定期组织集体备课，准确把握教材基本精神，形成统一的参考教案。实践课教学环节根据教学内容，选择开展社会调查、撰写调研报告等形式，以强化学生活学活用所学知识解决实际问题的能力</w:t>
            </w:r>
          </w:p>
          <w:p w14:paraId="73E7DC33">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r>
      <w:tr w14:paraId="19F59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50" w:type="dxa"/>
            <w:shd w:val="clear" w:color="auto" w:fill="auto"/>
            <w:vAlign w:val="center"/>
          </w:tcPr>
          <w:p w14:paraId="79AEA6F8">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2</w:t>
            </w:r>
          </w:p>
        </w:tc>
        <w:tc>
          <w:tcPr>
            <w:tcW w:w="1237" w:type="dxa"/>
            <w:shd w:val="clear" w:color="auto" w:fill="auto"/>
            <w:vAlign w:val="center"/>
          </w:tcPr>
          <w:p w14:paraId="40ADCC98">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毛泽东思想和中国特色社会主义理论体系概论</w:t>
            </w:r>
          </w:p>
        </w:tc>
        <w:tc>
          <w:tcPr>
            <w:tcW w:w="2339" w:type="dxa"/>
            <w:shd w:val="clear" w:color="auto" w:fill="auto"/>
            <w:vAlign w:val="center"/>
          </w:tcPr>
          <w:p w14:paraId="12E268B3">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1.掌握中国化</w:t>
            </w:r>
            <w:r>
              <w:rPr>
                <w:rFonts w:hint="eastAsia" w:ascii="Times New Roman" w:hAnsi="Times New Roman" w:eastAsia="楷体" w:cs="Times New Roman"/>
                <w:color w:val="auto"/>
                <w:sz w:val="20"/>
                <w:szCs w:val="20"/>
                <w:lang w:val="en-US" w:eastAsia="zh-CN"/>
              </w:rPr>
              <w:t>马克思主义理论</w:t>
            </w:r>
            <w:r>
              <w:rPr>
                <w:rFonts w:hint="default" w:ascii="Times New Roman" w:hAnsi="Times New Roman" w:eastAsia="楷体" w:cs="Times New Roman"/>
                <w:color w:val="auto"/>
                <w:sz w:val="20"/>
                <w:szCs w:val="20"/>
                <w:lang w:val="en-US" w:eastAsia="zh-CN"/>
              </w:rPr>
              <w:t xml:space="preserve"> 形 成 的 社 会 历 史 条件、科学内涵、精神实质和历史地位；</w:t>
            </w:r>
          </w:p>
          <w:p w14:paraId="5B1D4D2F">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2.能运用马克思主义的立场、观点和方法分析、解决问题，自觉坚定贯彻党的基本理论、基本路线、基 本方略及各项方针政策，积极投身到全面建设社会主义现代化的伟大实</w:t>
            </w:r>
            <w:r>
              <w:rPr>
                <w:rFonts w:hint="eastAsia" w:ascii="Times New Roman" w:hAnsi="Times New Roman" w:eastAsia="楷体" w:cs="Times New Roman"/>
                <w:color w:val="auto"/>
                <w:sz w:val="20"/>
                <w:szCs w:val="20"/>
                <w:lang w:val="en-US" w:eastAsia="zh-CN"/>
              </w:rPr>
              <w:t>践中</w:t>
            </w:r>
            <w:r>
              <w:rPr>
                <w:rFonts w:hint="default" w:ascii="Times New Roman" w:hAnsi="Times New Roman" w:eastAsia="楷体" w:cs="Times New Roman"/>
                <w:color w:val="auto"/>
                <w:sz w:val="20"/>
                <w:szCs w:val="20"/>
                <w:lang w:val="en-US" w:eastAsia="zh-CN"/>
              </w:rPr>
              <w:t>；</w:t>
            </w:r>
          </w:p>
          <w:p w14:paraId="4D60F74E">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3.树立共产主义远大理想和中国特色社会主义共同理想，牢固树立“四个意识 ” ，坚 定 “ 四 个 自信”，坚决做到“两个维护”，成长为具有过硬政治素质的社会主义事业建设者和接班人</w:t>
            </w:r>
          </w:p>
        </w:tc>
        <w:tc>
          <w:tcPr>
            <w:tcW w:w="2402" w:type="dxa"/>
            <w:shd w:val="clear" w:color="auto" w:fill="auto"/>
            <w:vAlign w:val="center"/>
          </w:tcPr>
          <w:p w14:paraId="18C645D6">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以马克思主义中国化为主线，以马克思主义中国化的理论成果为重点，全面系统阐述毛泽东思想的形成、主要内容及历史地位；邓小平理论的形成、主要内容及历史地位，“三个代表”重要思想形成、主</w:t>
            </w:r>
          </w:p>
          <w:p w14:paraId="518CB202">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要内容及历史地位，科学发展观的形成、主要内容及历史地位</w:t>
            </w:r>
          </w:p>
        </w:tc>
        <w:tc>
          <w:tcPr>
            <w:tcW w:w="3306" w:type="dxa"/>
            <w:shd w:val="clear" w:color="auto" w:fill="auto"/>
            <w:vAlign w:val="top"/>
          </w:tcPr>
          <w:p w14:paraId="01147F1E">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落实立德树人根本任务为目的，将培育学生的学科核心素养贯穿于教学活动全过程。坚持正确育人导向，强化价值引领，科学制定教学目标，注重探讨式和体验性学习，加强社会实践活动，注重运用新媒体新技术，提高教学效率。教学方式要采用多媒体课堂教学与课外实践教学相结合，定期组织集体备课。课堂教学环节主要采用理论教学、案例教学、</w:t>
            </w:r>
          </w:p>
          <w:p w14:paraId="52E1B0CD">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课堂互动、多媒体教学等方式进行，让学生掌握教材基础知识和基本理论；实践课教学环节根据教学内容，选择在红色文化教育实践基地教学、参观红色展馆、参加专题讲座等形式，以强化学生活学活用所学知识解决实际问题的能力</w:t>
            </w:r>
          </w:p>
          <w:p w14:paraId="3AC16086">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p w14:paraId="34241E24">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p w14:paraId="0E39FA16">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p w14:paraId="4CFC1B36">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p w14:paraId="391728C4">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r>
      <w:tr w14:paraId="5ACF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37FA85E5">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w:t>
            </w:r>
          </w:p>
        </w:tc>
        <w:tc>
          <w:tcPr>
            <w:tcW w:w="1237" w:type="dxa"/>
            <w:shd w:val="clear" w:color="auto" w:fill="auto"/>
            <w:vAlign w:val="center"/>
          </w:tcPr>
          <w:p w14:paraId="3198CD30">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习近平新时代中国特色社会</w:t>
            </w:r>
          </w:p>
          <w:p w14:paraId="0DD857EB">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义思想概论</w:t>
            </w:r>
          </w:p>
          <w:p w14:paraId="02242C53">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p>
        </w:tc>
        <w:tc>
          <w:tcPr>
            <w:tcW w:w="2339" w:type="dxa"/>
            <w:shd w:val="clear" w:color="auto" w:fill="auto"/>
            <w:vAlign w:val="center"/>
          </w:tcPr>
          <w:p w14:paraId="5319CA1D">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1.掌握马克思主义中国化时代化的最新理论成果形成的社会历史条件、科学内涵、精神实质和主要内 容，深刻领会习近平新时代中国</w:t>
            </w:r>
            <w:r>
              <w:rPr>
                <w:rFonts w:hint="eastAsia" w:ascii="Times New Roman" w:hAnsi="Times New Roman" w:eastAsia="楷体" w:cs="Times New Roman"/>
                <w:color w:val="auto"/>
                <w:sz w:val="20"/>
                <w:szCs w:val="20"/>
                <w:lang w:val="en-US" w:eastAsia="zh-CN"/>
              </w:rPr>
              <w:t>特色社会主义思想为</w:t>
            </w:r>
            <w:r>
              <w:rPr>
                <w:rFonts w:hint="default" w:ascii="Times New Roman" w:hAnsi="Times New Roman" w:eastAsia="楷体" w:cs="Times New Roman"/>
                <w:color w:val="auto"/>
                <w:sz w:val="20"/>
                <w:szCs w:val="20"/>
                <w:lang w:val="en-US" w:eastAsia="zh-CN"/>
              </w:rPr>
              <w:t xml:space="preserve">“治党治国及全球治理 ” 思 想 的重要历史地位，把握习近平新时代中国特色社会主义思想的世界观和方法论； </w:t>
            </w:r>
          </w:p>
          <w:p w14:paraId="2B6F6A71">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2.能运用</w:t>
            </w:r>
            <w:r>
              <w:rPr>
                <w:rFonts w:hint="eastAsia" w:ascii="Times New Roman" w:hAnsi="Times New Roman" w:eastAsia="楷体" w:cs="Times New Roman"/>
                <w:color w:val="auto"/>
                <w:sz w:val="20"/>
                <w:szCs w:val="20"/>
                <w:lang w:val="en-US" w:eastAsia="zh-CN"/>
              </w:rPr>
              <w:t>习近平新时代中国特色社会主义思想</w:t>
            </w:r>
            <w:r>
              <w:rPr>
                <w:rFonts w:hint="default" w:ascii="Times New Roman" w:hAnsi="Times New Roman" w:eastAsia="楷体" w:cs="Times New Roman"/>
                <w:color w:val="auto"/>
                <w:sz w:val="20"/>
                <w:szCs w:val="20"/>
                <w:lang w:val="en-US" w:eastAsia="zh-CN"/>
              </w:rPr>
              <w:t>蕴含的世界观和方法论分析、解决实现</w:t>
            </w:r>
            <w:r>
              <w:rPr>
                <w:rFonts w:hint="eastAsia" w:ascii="Times New Roman" w:hAnsi="Times New Roman" w:eastAsia="楷体" w:cs="Times New Roman"/>
                <w:color w:val="auto"/>
                <w:sz w:val="20"/>
                <w:szCs w:val="20"/>
                <w:lang w:val="en-US" w:eastAsia="zh-CN"/>
              </w:rPr>
              <w:t>社会主义现代化强国</w:t>
            </w:r>
            <w:r>
              <w:rPr>
                <w:rFonts w:hint="default" w:ascii="Times New Roman" w:hAnsi="Times New Roman" w:eastAsia="楷体" w:cs="Times New Roman"/>
                <w:color w:val="auto"/>
                <w:sz w:val="20"/>
                <w:szCs w:val="20"/>
                <w:lang w:val="en-US" w:eastAsia="zh-CN"/>
              </w:rPr>
              <w:t xml:space="preserve">和中华民族伟大复兴实践中的问题； </w:t>
            </w:r>
          </w:p>
          <w:p w14:paraId="3CEEEC7C">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3.自觉坚定贯彻党的基本理论、基本路线、基本方略及各项方针政策，积极投身到全面建设社会主义</w:t>
            </w:r>
          </w:p>
          <w:p w14:paraId="571E72FB">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现代化强国的伟大实践，牢固</w:t>
            </w:r>
            <w:r>
              <w:rPr>
                <w:rFonts w:hint="eastAsia" w:ascii="Times New Roman" w:hAnsi="Times New Roman" w:eastAsia="楷体" w:cs="Times New Roman"/>
                <w:color w:val="auto"/>
                <w:sz w:val="20"/>
                <w:szCs w:val="20"/>
                <w:lang w:val="en-US" w:eastAsia="zh-CN"/>
              </w:rPr>
              <w:t>增强“四个意识”</w:t>
            </w:r>
            <w:r>
              <w:rPr>
                <w:rFonts w:hint="default" w:ascii="Times New Roman" w:hAnsi="Times New Roman" w:eastAsia="楷体" w:cs="Times New Roman"/>
                <w:color w:val="auto"/>
                <w:sz w:val="20"/>
                <w:szCs w:val="20"/>
                <w:lang w:val="en-US" w:eastAsia="zh-CN"/>
              </w:rPr>
              <w:t>，坚定“四个自信”，坚决做到“两个维护”，成长为具有过硬政治素质的社会主义事业建设者和接班人。</w:t>
            </w:r>
          </w:p>
          <w:p w14:paraId="40F22D1E">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c>
          <w:tcPr>
            <w:tcW w:w="2402" w:type="dxa"/>
            <w:shd w:val="clear" w:color="auto" w:fill="auto"/>
            <w:vAlign w:val="center"/>
          </w:tcPr>
          <w:p w14:paraId="510CE610">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习近平新时代中国特色社会主义思想的创立及其历史地位；新时代坚持和发展中国特色社会主义，以中国式现代化全面推进中华民族伟大复兴，坚持党的全面领导，坚持以人为本，全面深化改革，推动高质量发展，社会主义现代化建设的</w:t>
            </w:r>
            <w:r>
              <w:rPr>
                <w:rFonts w:hint="eastAsia" w:ascii="Times New Roman" w:hAnsi="Times New Roman" w:eastAsia="楷体" w:cs="Times New Roman"/>
                <w:color w:val="auto"/>
                <w:sz w:val="20"/>
                <w:szCs w:val="20"/>
                <w:lang w:val="en-US" w:eastAsia="zh-CN"/>
              </w:rPr>
              <w:t>教育、科技、人才</w:t>
            </w:r>
            <w:r>
              <w:rPr>
                <w:rFonts w:hint="default" w:ascii="Times New Roman" w:hAnsi="Times New Roman" w:eastAsia="楷体" w:cs="Times New Roman"/>
                <w:color w:val="auto"/>
                <w:sz w:val="20"/>
                <w:szCs w:val="20"/>
                <w:lang w:val="en-US" w:eastAsia="zh-CN"/>
              </w:rPr>
              <w:t>战略，发展全过程人民民主，全面依法治国，建设社会主义文化强国，以保障和改善民生为重点加强社会建设，建设社会主义生态文明，维护和塑造国家安全，建设巩固国防和强大人民军队，坚持一</w:t>
            </w:r>
          </w:p>
          <w:p w14:paraId="1DF6A79F">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国两制和推进祖国完全统一，中国特色大国外交和构建人类命运共同体，全面从严治党</w:t>
            </w:r>
          </w:p>
        </w:tc>
        <w:tc>
          <w:tcPr>
            <w:tcW w:w="3306" w:type="dxa"/>
            <w:shd w:val="clear" w:color="auto" w:fill="auto"/>
            <w:vAlign w:val="center"/>
          </w:tcPr>
          <w:p w14:paraId="11E63089">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以落实立德树人根本任务为目的，将培育学生的学科核心素养贯穿于教学活动全过程。要求思政课教师在课堂教学中始终坚持马克思主义立场观点方法，在政治立场、政治方向、政治原则、政治道路上同以习近平同志为核心的党中央保持高度一致。教学方式要采用多媒体课堂教学与课外实践教学相结合，定期组织集体备课。 </w:t>
            </w:r>
          </w:p>
          <w:p w14:paraId="35D69410">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课堂教学环节主要采用理论教学、案例教学、课堂互动、多媒体教学等方式进行，让学生掌握教材基础知识和基本理论；实践课教学环节根据教学内容，选择在思政课实践教学基地教学或参观红色展馆、参加专题讲座等形式，以强化学生活学活用所学知识解决实际问题的能力</w:t>
            </w:r>
          </w:p>
          <w:p w14:paraId="3C2D0A74">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r>
      <w:tr w14:paraId="64DC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44E677B1">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4</w:t>
            </w:r>
          </w:p>
        </w:tc>
        <w:tc>
          <w:tcPr>
            <w:tcW w:w="1237" w:type="dxa"/>
            <w:shd w:val="clear" w:color="auto" w:fill="auto"/>
            <w:vAlign w:val="center"/>
          </w:tcPr>
          <w:p w14:paraId="6AC5A045">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形势与政策</w:t>
            </w:r>
          </w:p>
        </w:tc>
        <w:tc>
          <w:tcPr>
            <w:tcW w:w="2339" w:type="dxa"/>
            <w:shd w:val="clear" w:color="auto" w:fill="auto"/>
            <w:vAlign w:val="center"/>
          </w:tcPr>
          <w:p w14:paraId="7C9CB835">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1.全面正确认识党和国家面临的形势和任务，正确认识国情，理解</w:t>
            </w:r>
            <w:r>
              <w:rPr>
                <w:rFonts w:hint="eastAsia" w:ascii="Times New Roman" w:hAnsi="Times New Roman" w:eastAsia="楷体" w:cs="Times New Roman"/>
                <w:color w:val="auto"/>
                <w:sz w:val="20"/>
                <w:szCs w:val="20"/>
                <w:lang w:val="en-US" w:eastAsia="zh-CN"/>
              </w:rPr>
              <w:t>党的路线方针政策</w:t>
            </w:r>
            <w:r>
              <w:rPr>
                <w:rFonts w:hint="default" w:ascii="Times New Roman" w:hAnsi="Times New Roman" w:eastAsia="楷体" w:cs="Times New Roman"/>
                <w:color w:val="auto"/>
                <w:sz w:val="20"/>
                <w:szCs w:val="20"/>
                <w:lang w:val="en-US" w:eastAsia="zh-CN"/>
              </w:rPr>
              <w:t xml:space="preserve">； </w:t>
            </w:r>
          </w:p>
          <w:p w14:paraId="4015870C">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2.提高学生走向社会发展所需要思想、文化、职业等方面的综合素质； </w:t>
            </w:r>
          </w:p>
          <w:p w14:paraId="45029FCE">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3.引导大学生正确认识和分析当前国内外形势，统一 思 想 ， 坚定信心和决心，培养正确的分辨能力 </w:t>
            </w:r>
          </w:p>
          <w:p w14:paraId="74A3B302">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和判断能力</w:t>
            </w:r>
          </w:p>
          <w:p w14:paraId="4EEF7E45">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c>
          <w:tcPr>
            <w:tcW w:w="2402" w:type="dxa"/>
            <w:shd w:val="clear" w:color="auto" w:fill="auto"/>
            <w:vAlign w:val="center"/>
          </w:tcPr>
          <w:p w14:paraId="00A0CE5A">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依据中宣部、教育部下发的“高校形势与政策教育教学要点”，结合当前国际国内形势，介绍当前国内外经济政治形势、国际关系以及国内外热点事件，阐明党的路线方针政策和我国政府的基本原则、基本 </w:t>
            </w:r>
          </w:p>
          <w:p w14:paraId="41657E27">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立场与应对政策</w:t>
            </w:r>
          </w:p>
          <w:p w14:paraId="4F9E9C54">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p>
        </w:tc>
        <w:tc>
          <w:tcPr>
            <w:tcW w:w="3306" w:type="dxa"/>
            <w:shd w:val="clear" w:color="auto" w:fill="auto"/>
            <w:vAlign w:val="center"/>
          </w:tcPr>
          <w:p w14:paraId="64B3950F">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以落实立德树人根本任务为目的，将培育学生的学科核心素养贯穿于教学活动全过程。坚持正确育人导向，强化价值引领，科学制定教学目标，注重探讨式和体验性学习，加强社会实践活动，定期组织集体备课，准确把握教材基本精神，形成统一的参考教案，同时要注重运用新媒体新技术。教学方式要采用多媒体课堂教学与课外实践教学相结合。实践课教学环节根据教学内容，选择参加专题讲座或开展社会调查、撰写调研报告等形式，以强化学生活学活用所学知识解决实际问题的能力</w:t>
            </w:r>
          </w:p>
        </w:tc>
      </w:tr>
      <w:tr w14:paraId="5A7C6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03F825D7">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5</w:t>
            </w:r>
          </w:p>
        </w:tc>
        <w:tc>
          <w:tcPr>
            <w:tcW w:w="1237" w:type="dxa"/>
            <w:shd w:val="clear" w:color="auto" w:fill="auto"/>
            <w:vAlign w:val="center"/>
          </w:tcPr>
          <w:p w14:paraId="15EF6332">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国家安全</w:t>
            </w:r>
          </w:p>
          <w:p w14:paraId="3C9379AB">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教育</w:t>
            </w:r>
          </w:p>
        </w:tc>
        <w:tc>
          <w:tcPr>
            <w:tcW w:w="2339" w:type="dxa"/>
            <w:shd w:val="clear" w:color="auto" w:fill="auto"/>
            <w:vAlign w:val="center"/>
          </w:tcPr>
          <w:p w14:paraId="14D8A70F">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1.引导学生系统理解总体国家安全观的内涵与精神实质，明晰中国特色国家安全道路的核心要义，掌握 “以人民安全为宗旨、政治安全为根本、经济安全为基础” 等多领域统筹的体系逻辑，深刻认识新时代国家安全形势的复杂性与开创性成就，从理论层面构建完整的国家安全认知框架。</w:t>
            </w:r>
          </w:p>
          <w:p w14:paraId="0F6000FE">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2.使学生具备辨识危害国家安全行为的能力，能准确阐述全民国家安全教育日由来、国家安全定义及涵盖领域，知晓相关犯罪罪名与国家安全机关职责。同时，掌握维护国家安全的方</w:t>
            </w:r>
            <w:r>
              <w:rPr>
                <w:rFonts w:hint="eastAsia" w:ascii="Times New Roman" w:hAnsi="Times New Roman" w:eastAsia="楷体" w:cs="Times New Roman"/>
                <w:color w:val="auto"/>
                <w:sz w:val="20"/>
                <w:szCs w:val="20"/>
                <w:lang w:val="en-US" w:eastAsia="zh-CN"/>
              </w:rPr>
              <w:t>法和</w:t>
            </w:r>
            <w:r>
              <w:rPr>
                <w:rFonts w:hint="default" w:ascii="Times New Roman" w:hAnsi="Times New Roman" w:eastAsia="楷体" w:cs="Times New Roman"/>
                <w:color w:val="auto"/>
                <w:sz w:val="20"/>
                <w:szCs w:val="20"/>
                <w:lang w:val="en-US" w:eastAsia="zh-CN"/>
              </w:rPr>
              <w:t>途径，形成底线思维，能够将理论知识转化为分析现实安全问题的实践能力，强化风险研判与应对意识。</w:t>
            </w:r>
          </w:p>
          <w:p w14:paraId="6BA63CB2">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3.推动学生将国家安全意识内化为自觉行动，明确公民维护国家安全的法定义务，树立 “国家安全人人有责” 的责任担当。引导青年学生在学习与生活中践行总体国家安全观，主动参与国家安全宣传，为</w:t>
            </w:r>
            <w:r>
              <w:rPr>
                <w:rFonts w:hint="eastAsia" w:ascii="Times New Roman" w:hAnsi="Times New Roman" w:eastAsia="楷体" w:cs="Times New Roman"/>
                <w:color w:val="auto"/>
                <w:sz w:val="20"/>
                <w:szCs w:val="20"/>
                <w:lang w:val="en-US" w:eastAsia="zh-CN"/>
              </w:rPr>
              <w:t>以中国式现代化全面推进强国建设</w:t>
            </w:r>
            <w:r>
              <w:rPr>
                <w:rFonts w:hint="default" w:ascii="Times New Roman" w:hAnsi="Times New Roman" w:eastAsia="楷体" w:cs="Times New Roman"/>
                <w:color w:val="auto"/>
                <w:sz w:val="20"/>
                <w:szCs w:val="20"/>
                <w:lang w:val="en-US" w:eastAsia="zh-CN"/>
              </w:rPr>
              <w:t>贡献青春力量，实现从认知到行动的全链条素养提升</w:t>
            </w:r>
          </w:p>
          <w:p w14:paraId="7F875232">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p>
          <w:p w14:paraId="0C2FCEC2">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tc>
        <w:tc>
          <w:tcPr>
            <w:tcW w:w="2402" w:type="dxa"/>
            <w:shd w:val="clear" w:color="auto" w:fill="auto"/>
            <w:vAlign w:val="center"/>
          </w:tcPr>
          <w:p w14:paraId="303CFDB5">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《国家安全教育大学生读本》系统阐释总体国家安全观的重大意义、科学内涵与核心要义，全面展现新时代党领导国家安全工作的开创性成就。全书由导论及 10 章构成，导论解析我国国家安全形势与大学生学习要求，主体章节围绕理论体系展开，涵盖完整领会总体国家安全观、走中国特色国家安全道路、</w:t>
            </w:r>
            <w:r>
              <w:rPr>
                <w:rFonts w:hint="eastAsia" w:ascii="Times New Roman" w:hAnsi="Times New Roman" w:eastAsia="楷体" w:cs="Times New Roman"/>
                <w:color w:val="auto"/>
                <w:sz w:val="20"/>
                <w:szCs w:val="20"/>
                <w:lang w:val="en-US" w:eastAsia="zh-CN"/>
              </w:rPr>
              <w:t>统筹发展和安全</w:t>
            </w:r>
            <w:r>
              <w:rPr>
                <w:rFonts w:hint="default" w:ascii="Times New Roman" w:hAnsi="Times New Roman" w:eastAsia="楷体" w:cs="Times New Roman"/>
                <w:color w:val="auto"/>
                <w:sz w:val="20"/>
                <w:szCs w:val="20"/>
                <w:lang w:val="en-US" w:eastAsia="zh-CN"/>
              </w:rPr>
              <w:t>等内容，详细阐述人民安全、政治安全、经济安全等重点领域安全屏障建设，明确新时代大学生践行总体国家安全观的实践路径，助力青年学子构建国家安全知识体系，增强维护国家安全的意识与能力</w:t>
            </w:r>
          </w:p>
          <w:p w14:paraId="32CA853E">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tc>
        <w:tc>
          <w:tcPr>
            <w:tcW w:w="3306" w:type="dxa"/>
            <w:shd w:val="clear" w:color="auto" w:fill="auto"/>
            <w:vAlign w:val="center"/>
          </w:tcPr>
          <w:p w14:paraId="48EB36D3">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以落实立德树人根本任务为目的。高校是筑牢国家安全人民防线的重要组成部分，新时代大学生是维护国家安全的新鲜力量。教学中注重讲授总体国家安全观的重大意义、科学内涵、核心要义，教学内容要充分反映新时代党领导国家安全工作的开创性成就和历史性变革，引导新时代大学生系统把握总体国家安全观、增强维护国家安全的意识和能力</w:t>
            </w:r>
          </w:p>
          <w:p w14:paraId="7B061889">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p>
          <w:p w14:paraId="1B936FB7">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tc>
      </w:tr>
      <w:tr w14:paraId="438D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6E9D0EF3">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6</w:t>
            </w:r>
          </w:p>
        </w:tc>
        <w:tc>
          <w:tcPr>
            <w:tcW w:w="1237" w:type="dxa"/>
            <w:shd w:val="clear" w:color="auto" w:fill="auto"/>
            <w:vAlign w:val="center"/>
          </w:tcPr>
          <w:p w14:paraId="65B31157">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中华民族共同体概论</w:t>
            </w:r>
          </w:p>
        </w:tc>
        <w:tc>
          <w:tcPr>
            <w:tcW w:w="2339" w:type="dxa"/>
            <w:shd w:val="clear" w:color="auto" w:fill="auto"/>
            <w:vAlign w:val="center"/>
          </w:tcPr>
          <w:p w14:paraId="1DC84518">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1.要求学生掌握共同体基础理论，理解 “四个与共”“五个认同” 等核心理念，梳理从文明起源到新时代建设的历史脉络，明确其现实意义与全球价值培养学生运用理论分析民族文化现象的能力，提升跨文化沟通与团结协作素养，并结合专业特色形成实践应用思路</w:t>
            </w:r>
          </w:p>
          <w:p w14:paraId="676E19A7">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2.引导学生将个人发展融入民族复兴进程，践行 “休戚与共、荣辱与共” 的共同体精神，实现知识传授与价值引领的统一</w:t>
            </w:r>
          </w:p>
          <w:p w14:paraId="43DE4744">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tc>
        <w:tc>
          <w:tcPr>
            <w:tcW w:w="2402" w:type="dxa"/>
            <w:shd w:val="clear" w:color="auto" w:fill="auto"/>
            <w:vAlign w:val="center"/>
          </w:tcPr>
          <w:p w14:paraId="03C4AF4F">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教材系统阐释中华民族共同体的理论与实践，构建了“理论—历史—现实—全球”的四维框架。以解析共同体基础概念、核心理念及理论渊源，确立正确中华民族历史观；继而以长时段视角追溯史前至明清的文明演进，展现从多元文化互动到“大一统”格局、从“华夷一体”到“中华一家”的历史逻辑；再聚焦近现代以来，中国共产党领导下民族独立解放、新</w:t>
            </w:r>
            <w:r>
              <w:rPr>
                <w:rFonts w:hint="eastAsia" w:ascii="Times New Roman" w:hAnsi="Times New Roman" w:eastAsia="楷体" w:cs="Times New Roman"/>
                <w:color w:val="auto"/>
                <w:sz w:val="20"/>
                <w:szCs w:val="20"/>
                <w:lang w:val="en-US" w:eastAsia="zh-CN"/>
              </w:rPr>
              <w:t>中华民族大家庭</w:t>
            </w:r>
            <w:r>
              <w:rPr>
                <w:rFonts w:hint="default" w:ascii="Times New Roman" w:hAnsi="Times New Roman" w:eastAsia="楷体" w:cs="Times New Roman"/>
                <w:color w:val="auto"/>
                <w:sz w:val="20"/>
                <w:szCs w:val="20"/>
                <w:lang w:val="en-US" w:eastAsia="zh-CN"/>
              </w:rPr>
              <w:t>建设及新时代共同体建设的创新实践；终以全球视野探讨中华民族共同体对人类命运共同体理念的贡献，彰显中华文明新形态的世界意义。既梳理解析中华民族“从多元到一体”的发展脉络，又紧扣时代命题，为理解中华民族的历史逻辑与当代使命提供权威参考</w:t>
            </w:r>
          </w:p>
          <w:p w14:paraId="1D0D9287">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p>
        </w:tc>
        <w:tc>
          <w:tcPr>
            <w:tcW w:w="3306" w:type="dxa"/>
            <w:shd w:val="clear" w:color="auto" w:fill="auto"/>
            <w:vAlign w:val="center"/>
          </w:tcPr>
          <w:p w14:paraId="06C5387F">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lang w:val="en-US" w:eastAsia="zh-CN"/>
              </w:rPr>
              <w:t>教师要全面讲授和分析中华民族共同体的基本概念、基础理论、中华民族的起源形成和发展、古代各个时期各民族交往交流交融的历史事实、近代以来中华民族由自在到自觉的发展过程，构建中华民族共同体史料体系、话语体系、理论体系。教学中要注重使用论从史出、史论结合的教学方法，要引导学生牢固树立中华民族共同体理念，铸牢中华民族共同体意识。教学中要全面阐释“铸牢中华民族共同体意识”思想的目标与任务，系统讲述正确的中华民族国家观、历史观、民族观、文化观、宗教观。讲清讲透 “四个与共”“五个认同” 等核心理念，梳理从文明起源到新时代建设的历史脉络</w:t>
            </w:r>
          </w:p>
        </w:tc>
      </w:tr>
      <w:tr w14:paraId="5E03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5925EC74">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7</w:t>
            </w:r>
          </w:p>
        </w:tc>
        <w:tc>
          <w:tcPr>
            <w:tcW w:w="1237" w:type="dxa"/>
            <w:shd w:val="clear" w:color="auto" w:fill="auto"/>
            <w:vAlign w:val="center"/>
          </w:tcPr>
          <w:p w14:paraId="2220F73B">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大学语文</w:t>
            </w:r>
          </w:p>
        </w:tc>
        <w:tc>
          <w:tcPr>
            <w:tcW w:w="2339" w:type="dxa"/>
            <w:shd w:val="clear" w:color="auto" w:fill="auto"/>
            <w:vAlign w:val="center"/>
          </w:tcPr>
          <w:p w14:paraId="3448C195">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1.初步建立宏观的文学史体系，对中华优秀文化有一个全面立体的了解。具备基本的语文常识，了解中国文学发展概况；</w:t>
            </w:r>
          </w:p>
          <w:p w14:paraId="59D9FEC7">
            <w:pPr>
              <w:keepNext w:val="0"/>
              <w:keepLines w:val="0"/>
              <w:pageBreakBefore w:val="0"/>
              <w:kinsoku/>
              <w:wordWrap/>
              <w:topLinePunct w:val="0"/>
              <w:bidi w:val="0"/>
              <w:jc w:val="both"/>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优化听说读写技能，着重提升人际沟通、应用写作、鉴赏批评等能力；具有良好的阅读习惯和较强的母语驾驭能力，具有较高的审美鉴赏能力；能够运用文学基本知识，阅读、欣赏文章与作品，能够正确描述、评价文学现象，准确抒发对自然、社会、人生的感受；</w:t>
            </w:r>
          </w:p>
          <w:p w14:paraId="131E5423">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帮助学生树立正确三观，着重培育学生的职业素养、创新思维和工匠意识。养成实事求是、崇尚真知的科学态度；汲取仁人志士的智慧、襟怀和品质，培养职业情感和敬业精神，形成豁达、乐观、积极的人生态度；弘扬爱国主义为核心的民族精神</w:t>
            </w:r>
            <w:r>
              <w:rPr>
                <w:rFonts w:hint="eastAsia" w:ascii="Times New Roman" w:hAnsi="Times New Roman" w:eastAsia="楷体" w:cs="Times New Roman"/>
                <w:color w:val="auto"/>
                <w:sz w:val="20"/>
                <w:szCs w:val="20"/>
                <w:lang w:eastAsia="zh-CN"/>
              </w:rPr>
              <w:t>和以</w:t>
            </w:r>
            <w:r>
              <w:rPr>
                <w:rFonts w:hint="default" w:ascii="Times New Roman" w:hAnsi="Times New Roman" w:eastAsia="楷体" w:cs="Times New Roman"/>
                <w:color w:val="auto"/>
                <w:sz w:val="20"/>
                <w:szCs w:val="20"/>
              </w:rPr>
              <w:t>自主创新为核心的时代精神，树立文化自信</w:t>
            </w:r>
          </w:p>
        </w:tc>
        <w:tc>
          <w:tcPr>
            <w:tcW w:w="2402" w:type="dxa"/>
            <w:shd w:val="clear" w:color="auto" w:fill="auto"/>
            <w:vAlign w:val="center"/>
          </w:tcPr>
          <w:p w14:paraId="1A021F3B">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结合文学史的发展顺序，从各个阶段选取经典篇目进行赏析，包括古典文学、现当代文学、外国文学的文体特点、语法知识以及作家的生平经历、思想等。了解中国先进政治理念，以中国经典文学作品为载体，通过深入学习这些优秀文化的精华，对中国古代和现代文化传统进行了解和认识，并形成正确的政治思想观念，加强爱国主义教育。大学语文课程注重学生语文素养的培养，让学生明白语言的重要性和文化内涵。要密切结合讲读课文、学生关心的热点话题等对学生进行口头和书面表达训练</w:t>
            </w:r>
          </w:p>
        </w:tc>
        <w:tc>
          <w:tcPr>
            <w:tcW w:w="3306" w:type="dxa"/>
            <w:shd w:val="clear" w:color="auto" w:fill="auto"/>
            <w:vAlign w:val="center"/>
          </w:tcPr>
          <w:p w14:paraId="10C8C721">
            <w:pPr>
              <w:keepNext w:val="0"/>
              <w:keepLines w:val="0"/>
              <w:pageBreakBefore w:val="0"/>
              <w:kinsoku/>
              <w:wordWrap/>
              <w:topLinePunct w:val="0"/>
              <w:bidi w:val="0"/>
              <w:jc w:val="both"/>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讲授规定的必讲篇目，并选讲一定数量的自选篇目。培养学生对文学作品的阅读、欣赏和体悟能力。要求学生背诵一定数量的名篇名段。结合教学，播放2至3次著名影视文学作品，以增强学生的直观感受和理解。应结合职业教育的特点，遵循大学语文教学的工具性、人文性和审美性三大维度入手。从学生实际出发，兼顾各类专业，精选学习内容，改革教学方法，使全体学生获得应该具备的语文素养。以人文知识内容为本位，以文学作品为蓝本，融合语文能力培养。以传统语文知识为基础提升学生的人文精神和审美能力</w:t>
            </w:r>
          </w:p>
        </w:tc>
      </w:tr>
      <w:tr w14:paraId="27AD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34142893">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8</w:t>
            </w:r>
          </w:p>
        </w:tc>
        <w:tc>
          <w:tcPr>
            <w:tcW w:w="1237" w:type="dxa"/>
            <w:shd w:val="clear" w:color="auto" w:fill="auto"/>
            <w:vAlign w:val="center"/>
          </w:tcPr>
          <w:p w14:paraId="6D308ABB">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体育与健康</w:t>
            </w:r>
          </w:p>
        </w:tc>
        <w:tc>
          <w:tcPr>
            <w:tcW w:w="2339" w:type="dxa"/>
            <w:shd w:val="clear" w:color="auto" w:fill="auto"/>
            <w:vAlign w:val="top"/>
          </w:tcPr>
          <w:p w14:paraId="23128E73">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1.通过对健康知识的学习及科学的健身锻炼，培养“终身体育”意识，养成良好的锻炼习惯；</w:t>
            </w:r>
          </w:p>
          <w:p w14:paraId="22C752FD">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2.掌握1-2项运动的基本技能与科学锻炼的方法；</w:t>
            </w:r>
          </w:p>
          <w:p w14:paraId="074C4E80">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3.能分析自己专业岗位工作的职业体能需求、职业危害与职业病，能通过针对性的训练有效提升职业身体素质</w:t>
            </w:r>
          </w:p>
        </w:tc>
        <w:tc>
          <w:tcPr>
            <w:tcW w:w="2402" w:type="dxa"/>
            <w:shd w:val="clear" w:color="auto" w:fill="auto"/>
            <w:vAlign w:val="top"/>
          </w:tcPr>
          <w:p w14:paraId="0D1DA2F9">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体育课程是大学生以身体练习为主要手段，通过合理的体育教育和科学的体育锻炼过程，达到增强体质、增进健康和提高体育素养为主要目标的公共必修课程</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是学校课程体系的重要组成部分</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是高等学校体育工作的中心环节。</w:t>
            </w:r>
          </w:p>
          <w:p w14:paraId="0E8C5DB3">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教学内容主要有：田径、武术、太极拳、八段锦、五禽戏、篮球、排球、气排球、足球、乒乓球、羽毛球、健美操、体育舞蹈、瑜伽、跆拳道等</w:t>
            </w:r>
          </w:p>
        </w:tc>
        <w:tc>
          <w:tcPr>
            <w:tcW w:w="3306" w:type="dxa"/>
            <w:shd w:val="clear" w:color="auto" w:fill="auto"/>
            <w:vAlign w:val="top"/>
          </w:tcPr>
          <w:p w14:paraId="7B24D95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一、要求学生能够提高对身体和健康的认识，掌握有关身体健康的知识和科学健身方法，</w:t>
            </w:r>
            <w:r>
              <w:rPr>
                <w:rFonts w:hint="eastAsia" w:ascii="Times New Roman" w:hAnsi="Times New Roman" w:eastAsia="楷体" w:cs="Times New Roman"/>
                <w:color w:val="auto"/>
                <w:sz w:val="20"/>
                <w:szCs w:val="20"/>
                <w:lang w:eastAsia="zh-CN"/>
              </w:rPr>
              <w:t>增强</w:t>
            </w:r>
            <w:r>
              <w:rPr>
                <w:rFonts w:hint="default" w:ascii="Times New Roman" w:hAnsi="Times New Roman" w:eastAsia="楷体" w:cs="Times New Roman"/>
                <w:color w:val="auto"/>
                <w:sz w:val="20"/>
                <w:szCs w:val="20"/>
              </w:rPr>
              <w:t>自我保健意识</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坚持锻炼，增强体能，促进身体健康</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养成健康</w:t>
            </w:r>
            <w:r>
              <w:rPr>
                <w:rFonts w:hint="eastAsia" w:ascii="Times New Roman" w:hAnsi="Times New Roman" w:eastAsia="楷体" w:cs="Times New Roman"/>
                <w:color w:val="auto"/>
                <w:sz w:val="20"/>
                <w:szCs w:val="20"/>
                <w:lang w:eastAsia="zh-CN"/>
              </w:rPr>
              <w:t>的</w:t>
            </w:r>
            <w:r>
              <w:rPr>
                <w:rFonts w:hint="default" w:ascii="Times New Roman" w:hAnsi="Times New Roman" w:eastAsia="楷体" w:cs="Times New Roman"/>
                <w:color w:val="auto"/>
                <w:sz w:val="20"/>
                <w:szCs w:val="20"/>
              </w:rPr>
              <w:t>的生活方式。二、要求</w:t>
            </w:r>
            <w:r>
              <w:rPr>
                <w:rFonts w:hint="eastAsia" w:ascii="Times New Roman" w:hAnsi="Times New Roman" w:eastAsia="楷体" w:cs="Times New Roman"/>
                <w:color w:val="auto"/>
                <w:sz w:val="20"/>
                <w:szCs w:val="20"/>
                <w:lang w:eastAsia="zh-CN"/>
              </w:rPr>
              <w:t>学生</w:t>
            </w:r>
            <w:r>
              <w:rPr>
                <w:rFonts w:hint="default" w:ascii="Times New Roman" w:hAnsi="Times New Roman" w:eastAsia="楷体" w:cs="Times New Roman"/>
                <w:color w:val="auto"/>
                <w:sz w:val="20"/>
                <w:szCs w:val="20"/>
              </w:rPr>
              <w:t>在和谐、平等、友爱的运动环境中感受到集体的温暖和情感的愉悦</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在经历挫折和克服困难的过程中，提高抗挫折能力和情绪调节能力，培养坚强的意志品质</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在不断体验进步或成功的过程中，增强自尊心和自信心，培养创新精神和创新能力，形成积极向上、乐观开朗的生活态度。三、要求</w:t>
            </w:r>
            <w:r>
              <w:rPr>
                <w:rFonts w:hint="eastAsia" w:ascii="Times New Roman" w:hAnsi="Times New Roman" w:eastAsia="楷体" w:cs="Times New Roman"/>
                <w:color w:val="auto"/>
                <w:sz w:val="20"/>
                <w:szCs w:val="20"/>
                <w:lang w:eastAsia="zh-CN"/>
              </w:rPr>
              <w:t>学生</w:t>
            </w:r>
            <w:r>
              <w:rPr>
                <w:rFonts w:hint="default" w:ascii="Times New Roman" w:hAnsi="Times New Roman" w:eastAsia="楷体" w:cs="Times New Roman"/>
                <w:color w:val="auto"/>
                <w:sz w:val="20"/>
                <w:szCs w:val="20"/>
              </w:rPr>
              <w:t>理解个人健康与群体健康的密切关系，建立起对自我、群体和社会的责任感</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形成现代社会所必需的合作与竞争意识，学会尊重和关心他人，培养良好的体育道德和</w:t>
            </w:r>
            <w:r>
              <w:rPr>
                <w:rFonts w:hint="eastAsia" w:ascii="Times New Roman" w:hAnsi="Times New Roman" w:eastAsia="楷体" w:cs="Times New Roman"/>
                <w:color w:val="auto"/>
                <w:sz w:val="20"/>
                <w:szCs w:val="20"/>
                <w:lang w:eastAsia="zh-CN"/>
              </w:rPr>
              <w:t>爱国主义、集体主义、社会主义</w:t>
            </w:r>
            <w:r>
              <w:rPr>
                <w:rFonts w:hint="default" w:ascii="Times New Roman" w:hAnsi="Times New Roman" w:eastAsia="楷体" w:cs="Times New Roman"/>
                <w:color w:val="auto"/>
                <w:sz w:val="20"/>
                <w:szCs w:val="20"/>
              </w:rPr>
              <w:t>精神学会获取现代社会中体育与健康知识的方法。四、学生能够掌握体育与健康的基本知识和运动技能，学会学习体育的基本方法，形成终身锻炼的意识和习惯</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学生可以根据自己的兴趣爱好和不同需求，选择个人喜爱的方法参与体育活动，挖掘运动潜能，提高运动欣赏能力，形成积极的余暇生活方式</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学生可以提高体育运动中的安全防范能力，获得在野外环境中的基本生存技能</w:t>
            </w:r>
          </w:p>
        </w:tc>
      </w:tr>
      <w:tr w14:paraId="258C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0BC59A54">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9</w:t>
            </w:r>
          </w:p>
        </w:tc>
        <w:tc>
          <w:tcPr>
            <w:tcW w:w="1237" w:type="dxa"/>
            <w:shd w:val="clear" w:color="auto" w:fill="auto"/>
            <w:vAlign w:val="center"/>
          </w:tcPr>
          <w:p w14:paraId="130D0B31">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基础英语</w:t>
            </w:r>
          </w:p>
        </w:tc>
        <w:tc>
          <w:tcPr>
            <w:tcW w:w="2339" w:type="dxa"/>
            <w:shd w:val="clear" w:color="auto" w:fill="auto"/>
            <w:vAlign w:val="center"/>
          </w:tcPr>
          <w:p w14:paraId="0B50B69B">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1.掌握一定的实用英语词汇、基本的英语语法规则；掌握不同类型文章阅读的技巧和方法；学会常用题材的写作方法；掌握多元文化知识；</w:t>
            </w:r>
          </w:p>
          <w:p w14:paraId="4186A135">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能听懂日常交际中的结构简单、发音清楚、语速较慢的英语对话，并能在日常生活中进行简单交流；能够正确运用基本语法知识；能阅读中等难度的英文资料并理解正确；能够完成常用题材的命题作文；能用英语</w:t>
            </w:r>
            <w:r>
              <w:rPr>
                <w:rFonts w:hint="eastAsia" w:ascii="Times New Roman" w:hAnsi="Times New Roman" w:eastAsia="楷体" w:cs="Times New Roman"/>
                <w:color w:val="auto"/>
                <w:sz w:val="20"/>
                <w:szCs w:val="20"/>
                <w:lang w:eastAsia="zh-CN"/>
              </w:rPr>
              <w:t>讲好中国故事</w:t>
            </w:r>
            <w:r>
              <w:rPr>
                <w:rFonts w:hint="default" w:ascii="Times New Roman" w:hAnsi="Times New Roman" w:eastAsia="楷体" w:cs="Times New Roman"/>
                <w:color w:val="auto"/>
                <w:sz w:val="20"/>
                <w:szCs w:val="20"/>
              </w:rPr>
              <w:t>；</w:t>
            </w:r>
          </w:p>
          <w:p w14:paraId="2439DA7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3.培养学生自主学习的能力和国际视野，增强人文关怀精神和开拓创新的意识；提升逻辑、思辨和创新思维能力；学会尊重他人，具有同理心与同情心</w:t>
            </w:r>
          </w:p>
        </w:tc>
        <w:tc>
          <w:tcPr>
            <w:tcW w:w="2402" w:type="dxa"/>
            <w:shd w:val="clear" w:color="auto" w:fill="auto"/>
            <w:vAlign w:val="center"/>
          </w:tcPr>
          <w:p w14:paraId="0E24D7A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本课程依托《高职国际英语---进阶综合教程》系列教材，采用新媒体多模态语篇，完成各种情境下常用词汇和句子的学习，如人物介绍、地点介绍、理性购物、家庭关系、娱乐活动、兴趣爱好、健康生活、假日旅游、社交礼仪、中国饮食、工作面试等情境。以学生具备的英语基础为起点，在加强英语语言基础知识和基本技能训练的同时培养学生具有一定的听、说、读、看、写、译的能力的同时融入中国传统文化等人文知识的学习，提升其人文素养和用英语传播中国故事的能力</w:t>
            </w:r>
          </w:p>
        </w:tc>
        <w:tc>
          <w:tcPr>
            <w:tcW w:w="3306" w:type="dxa"/>
            <w:shd w:val="clear" w:color="auto" w:fill="auto"/>
            <w:vAlign w:val="center"/>
          </w:tcPr>
          <w:p w14:paraId="0586085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高职英语教学以英语的实际使用为导向，以培养学生的英语应用能力为核心。在把握学生学习能力的基础上，注重发展学生运用语言能力，进一步提升其交流能力和跨文化交际能力，以使学生在日常生活、专业学习和职业岗位等不同领域或语境中能够用英语有效地进行交流。本课程应基于产出导向法（POA）、任务教学法、讲授法等多种符合高职高专学生学习规律的方法借助多模态教学材料实现课程教学目标</w:t>
            </w:r>
          </w:p>
        </w:tc>
      </w:tr>
      <w:tr w14:paraId="286A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58EB5084">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10</w:t>
            </w:r>
          </w:p>
        </w:tc>
        <w:tc>
          <w:tcPr>
            <w:tcW w:w="1237" w:type="dxa"/>
            <w:shd w:val="clear" w:color="auto" w:fill="auto"/>
            <w:vAlign w:val="center"/>
          </w:tcPr>
          <w:p w14:paraId="6BDE0B86">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医学英语</w:t>
            </w:r>
          </w:p>
        </w:tc>
        <w:tc>
          <w:tcPr>
            <w:tcW w:w="2339" w:type="dxa"/>
            <w:shd w:val="clear" w:color="auto" w:fill="auto"/>
            <w:vAlign w:val="center"/>
          </w:tcPr>
          <w:p w14:paraId="5CF4ADF9">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1.掌握常用专业英语词汇的词源、词根、词缀等；掌握医患沟通常用语；了解相关的文化知识，提升跨文化交际能力；</w:t>
            </w:r>
          </w:p>
          <w:p w14:paraId="3D554F96">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2.能听懂职业情境下的语速较慢的英语简短对话；能借助词典或网络工具读懂难度一般的医学文献资料，完成常见医疗文件的书写；能使用专业术语介绍中医基础知识和常见中医治疗技术等；</w:t>
            </w:r>
          </w:p>
          <w:p w14:paraId="69A524A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3.培养学风严谨、实事求是的态度，加强团队协作能力，提升传播中医药</w:t>
            </w:r>
            <w:r>
              <w:rPr>
                <w:rFonts w:hint="eastAsia" w:ascii="Times New Roman" w:hAnsi="Times New Roman" w:eastAsia="楷体" w:cs="Times New Roman"/>
                <w:color w:val="auto"/>
                <w:sz w:val="20"/>
                <w:szCs w:val="20"/>
                <w:lang w:eastAsia="zh-CN"/>
              </w:rPr>
              <w:t>文化</w:t>
            </w:r>
            <w:r>
              <w:rPr>
                <w:rFonts w:hint="default" w:ascii="Times New Roman" w:hAnsi="Times New Roman" w:eastAsia="楷体" w:cs="Times New Roman"/>
                <w:color w:val="auto"/>
                <w:sz w:val="20"/>
                <w:szCs w:val="20"/>
              </w:rPr>
              <w:t>基本理念和常用疗法的能力，增强职业认同感和自豪感</w:t>
            </w:r>
          </w:p>
        </w:tc>
        <w:tc>
          <w:tcPr>
            <w:tcW w:w="2402" w:type="dxa"/>
            <w:shd w:val="clear" w:color="auto" w:fill="auto"/>
            <w:vAlign w:val="center"/>
          </w:tcPr>
          <w:p w14:paraId="419B4887">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本课程依托外语教育与研究出版社出版的新职业英语行业篇《医护英语》，完成医学基础知识篇和临床医学篇相关情境知识的词汇和表达学习，包括人体系统介绍、挂号就诊、医院常见检查、疾病预防、中医学基础知识及常用中医治疗技术、太极拳、八段锦等，基于行业词汇，融入职场情境，强化输出练习，使学生掌握一定的行业英语基础知识和运用技能</w:t>
            </w:r>
          </w:p>
        </w:tc>
        <w:tc>
          <w:tcPr>
            <w:tcW w:w="3306" w:type="dxa"/>
            <w:shd w:val="clear" w:color="auto" w:fill="auto"/>
            <w:vAlign w:val="center"/>
          </w:tcPr>
          <w:p w14:paraId="30C329B9">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高职英语教学以英语的实际使用为导向，以培养学生的英语应用能力为核心。本课程应以知识传授、能力培养和对外文化传播的三位一体教学目标为导向，基于语言教学的基本规律与医学专业的学科特点，将教学内容根据重要程度，分为掌握、熟悉、了解三类。在把握学生基础英语学习水平的基础上，发展学</w:t>
            </w:r>
            <w:r>
              <w:rPr>
                <w:rFonts w:hint="eastAsia" w:ascii="Times New Roman" w:hAnsi="Times New Roman" w:eastAsia="楷体" w:cs="Times New Roman"/>
                <w:color w:val="auto"/>
                <w:sz w:val="20"/>
                <w:szCs w:val="20"/>
                <w:lang w:eastAsia="zh-CN"/>
              </w:rPr>
              <w:t>生在</w:t>
            </w:r>
            <w:r>
              <w:rPr>
                <w:rFonts w:hint="default" w:ascii="Times New Roman" w:hAnsi="Times New Roman" w:eastAsia="楷体" w:cs="Times New Roman"/>
                <w:color w:val="auto"/>
                <w:sz w:val="20"/>
                <w:szCs w:val="20"/>
              </w:rPr>
              <w:t>职场情境下交流沟通的能力，增强跨文化交际意识。基于产出导向法（POA）、任务教学法、讲授法等多种符合高职高专学生学习规律的方法借助多模态教学材料实现课程教学目标</w:t>
            </w:r>
          </w:p>
        </w:tc>
      </w:tr>
      <w:tr w14:paraId="3E69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74966848">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11</w:t>
            </w:r>
          </w:p>
        </w:tc>
        <w:tc>
          <w:tcPr>
            <w:tcW w:w="1237" w:type="dxa"/>
            <w:shd w:val="clear" w:color="auto" w:fill="auto"/>
            <w:vAlign w:val="center"/>
          </w:tcPr>
          <w:p w14:paraId="0C52EF1E">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信息技术</w:t>
            </w:r>
          </w:p>
        </w:tc>
        <w:tc>
          <w:tcPr>
            <w:tcW w:w="2339" w:type="dxa"/>
            <w:shd w:val="clear" w:color="auto" w:fill="auto"/>
            <w:vAlign w:val="top"/>
          </w:tcPr>
          <w:p w14:paraId="66C5B6D2">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1.通过理论知识学习、技能训练和综合应用实践，使学生的信息素养和信息技术应用能力得到全面提升；</w:t>
            </w:r>
          </w:p>
          <w:p w14:paraId="6B6432D9">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通过丰富的教学内容和多样化的教学形式，帮助学生认识信息技术的重要作用，了解现代社会信息技术发展趋势；使学生掌握常用的工具软件和信息化办公技术，了解大数据、人工智能等新兴信息技术，具备支撑专业学习的能力，能综合运用信息技术解决问题；</w:t>
            </w:r>
          </w:p>
          <w:p w14:paraId="62B83990">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3.使学生拥有团队意识和职业精神，具备独立思考和主动探究能力，为学生职业能力的持续发展奠定基础</w:t>
            </w:r>
          </w:p>
        </w:tc>
        <w:tc>
          <w:tcPr>
            <w:tcW w:w="2402" w:type="dxa"/>
            <w:shd w:val="clear" w:color="auto" w:fill="auto"/>
            <w:vAlign w:val="top"/>
          </w:tcPr>
          <w:p w14:paraId="35792927">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1.计算机基础知识、系统的构成、信息安全等。</w:t>
            </w:r>
          </w:p>
          <w:p w14:paraId="5EB3452A">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2.操作系统的基本概念和作用；Windows操作系统的基本操作。</w:t>
            </w:r>
          </w:p>
          <w:p w14:paraId="19EC79CD">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3.文档的基本编辑、图片的插入和编辑、表格的插入和编辑、样式与模板的创建和使用等内容。</w:t>
            </w:r>
          </w:p>
          <w:p w14:paraId="3FA65204">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4.电子表格中工作表和工作簿操作、公式和函数的使用、图表分析展示数据、数据处理等内容。</w:t>
            </w:r>
          </w:p>
          <w:p w14:paraId="2A795716">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5.演示文稿制作、动画设计、母版制作和使用、演示文稿放映和导出等内容。</w:t>
            </w:r>
          </w:p>
          <w:p w14:paraId="6B7FA489">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6.信息检索基础知识及检索操作。</w:t>
            </w:r>
          </w:p>
          <w:p w14:paraId="6E7D3C2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7.新一代信息技术的基本概念、技术特点及典型应用</w:t>
            </w:r>
          </w:p>
        </w:tc>
        <w:tc>
          <w:tcPr>
            <w:tcW w:w="3306" w:type="dxa"/>
            <w:shd w:val="clear" w:color="auto" w:fill="auto"/>
            <w:vAlign w:val="top"/>
          </w:tcPr>
          <w:p w14:paraId="1561171D">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教学要紧扣学科核心素养和课程目标，在全面贯彻党的教育方针，落实立德树人根本任务的基础上，突出职业教育特色，提升学生的信息素养，培养学生的数字化学习能力和利用信息技术解决实际问题的能力。贯彻课程思政要求，加强对学生的情感态度和社会责任的教育；采用理论与实践相结合的教学方式，提升学生的信息技术技能和综合应用能力；培养学生的数字化学习能力和创新意识，使学生能将信息技术创新应用于日常生活、学习和工作中</w:t>
            </w:r>
          </w:p>
        </w:tc>
      </w:tr>
      <w:tr w14:paraId="6A44C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0553CBD7">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12</w:t>
            </w:r>
          </w:p>
        </w:tc>
        <w:tc>
          <w:tcPr>
            <w:tcW w:w="1237" w:type="dxa"/>
            <w:shd w:val="clear" w:color="auto" w:fill="auto"/>
            <w:vAlign w:val="center"/>
          </w:tcPr>
          <w:p w14:paraId="4881FC57">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大学生心理健康教育</w:t>
            </w:r>
          </w:p>
        </w:tc>
        <w:tc>
          <w:tcPr>
            <w:tcW w:w="2339" w:type="dxa"/>
            <w:shd w:val="clear" w:color="auto" w:fill="auto"/>
            <w:vAlign w:val="center"/>
          </w:tcPr>
          <w:p w14:paraId="12F534A7">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1.结合学生群体心理发展特点及阶段心理困扰类型，帮助学生了解心理健康的基本知识，树立心理健康意识，掌握心理调适的方法；</w:t>
            </w:r>
          </w:p>
          <w:p w14:paraId="371D7A7F">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2.引导学生适应新环境、正确认识自我、学会学习、正确处理各种人际关系，进行情绪调适、恋爱与性心理辅导，促进学生养成良好的心理品质，提高职业素养和社会适应能力；</w:t>
            </w:r>
          </w:p>
          <w:p w14:paraId="0985929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3.通过心理健康课程教育体系，引导学生养成良好的心理品质和积极应对危机的意识，培养“德技兼修”具有当代大学生典范的人才队伍</w:t>
            </w:r>
          </w:p>
        </w:tc>
        <w:tc>
          <w:tcPr>
            <w:tcW w:w="2402" w:type="dxa"/>
            <w:shd w:val="clear" w:color="auto" w:fill="auto"/>
            <w:vAlign w:val="center"/>
          </w:tcPr>
          <w:p w14:paraId="3CE89131">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大学生心理健康的概念与标准、大学生心理发展的特点和影响因素、大学生常见心理行为问题与</w:t>
            </w:r>
            <w:r>
              <w:rPr>
                <w:rFonts w:hint="eastAsia" w:ascii="Times New Roman" w:hAnsi="Times New Roman" w:eastAsia="楷体" w:cs="Times New Roman"/>
                <w:color w:val="auto"/>
                <w:sz w:val="20"/>
                <w:szCs w:val="20"/>
                <w:lang w:eastAsia="zh-CN"/>
              </w:rPr>
              <w:t>调适</w:t>
            </w:r>
            <w:r>
              <w:rPr>
                <w:rFonts w:hint="default" w:ascii="Times New Roman" w:hAnsi="Times New Roman" w:eastAsia="楷体" w:cs="Times New Roman"/>
                <w:color w:val="auto"/>
                <w:sz w:val="20"/>
                <w:szCs w:val="20"/>
              </w:rPr>
              <w:t>方法；自我意识的含义、大学生自我发展的特点和重要性、自我意识发展过程中出现的偏差及调适；情绪的概念、大学生的情绪特点和影响因素、情绪调适的方法；大学生人际交往特点、人际交往中的心理效应和技巧</w:t>
            </w:r>
          </w:p>
        </w:tc>
        <w:tc>
          <w:tcPr>
            <w:tcW w:w="3306" w:type="dxa"/>
            <w:shd w:val="clear" w:color="auto" w:fill="auto"/>
            <w:vAlign w:val="center"/>
          </w:tcPr>
          <w:p w14:paraId="4DDD795D">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心理健康课是集知识、体验和训练为一体的综合课程。课程要注重理论联系实际，注重培养学生实际应用能力；要充分发挥师生在教学中的主动性和创造性。教师要尊重学生的主体性，充分调动学生参与的积极性，开展课堂互动活动，避免单向的理论灌输和知识传授；课程要采用理论与体验教学相结合、讲授与训练相结合的教学方法，如案例分析、小组讨论、心理测试、团体训练、情境表演、角色扮演等</w:t>
            </w:r>
          </w:p>
        </w:tc>
      </w:tr>
      <w:tr w14:paraId="1B9F5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5CF50F6A">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13</w:t>
            </w:r>
          </w:p>
        </w:tc>
        <w:tc>
          <w:tcPr>
            <w:tcW w:w="1237" w:type="dxa"/>
            <w:shd w:val="clear" w:color="auto" w:fill="auto"/>
            <w:vAlign w:val="center"/>
          </w:tcPr>
          <w:p w14:paraId="5A9EFB59">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军事教育与技能训练</w:t>
            </w:r>
          </w:p>
        </w:tc>
        <w:tc>
          <w:tcPr>
            <w:tcW w:w="2339" w:type="dxa"/>
            <w:shd w:val="clear" w:color="auto" w:fill="auto"/>
            <w:vAlign w:val="center"/>
          </w:tcPr>
          <w:p w14:paraId="77FAC73E">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1.以国防教育为主线，通过军事课教学，使大学生掌握基本军事理论与军事技能；</w:t>
            </w:r>
          </w:p>
          <w:p w14:paraId="5ACE2D86">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2.增强大学生国防观念和国家安全意识，强化爱国主义，集体主义观念，加强组织纪律性；</w:t>
            </w:r>
          </w:p>
          <w:p w14:paraId="67819A9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3.促进大学生综合素质的提高，为中国人民解放军训练后备兵员和培养预备役军官打下坚实的基础，培养大学生时刻心系国防、关注国防，强化为国防建设服务的思想</w:t>
            </w:r>
          </w:p>
        </w:tc>
        <w:tc>
          <w:tcPr>
            <w:tcW w:w="2402" w:type="dxa"/>
            <w:shd w:val="clear" w:color="auto" w:fill="auto"/>
            <w:vAlign w:val="center"/>
          </w:tcPr>
          <w:p w14:paraId="1FF446F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介绍中国国防概述、国防法规、国防建设、中国的武装力量、国防动员；国家安全概述、国家安全形势、国际战略形势；中国古代军事思想、当代中国军事思想，习近平强军思想；现代战争概述、新军事革命、机械和信息化战争等</w:t>
            </w:r>
          </w:p>
        </w:tc>
        <w:tc>
          <w:tcPr>
            <w:tcW w:w="3306" w:type="dxa"/>
            <w:shd w:val="clear" w:color="auto" w:fill="auto"/>
            <w:vAlign w:val="center"/>
          </w:tcPr>
          <w:p w14:paraId="47B779B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军事课列入学校的教学计划，按照《大纲》组织实施军事课教学，严格考勤考核制度。军事理论教学时数为36学时，在教学过程中，要掌握好深度，不断改进教学方法，积极采用以计算机为中心的多媒体教学，确保教学质量</w:t>
            </w:r>
          </w:p>
        </w:tc>
      </w:tr>
      <w:tr w14:paraId="11D5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35FDD10E">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14</w:t>
            </w:r>
          </w:p>
        </w:tc>
        <w:tc>
          <w:tcPr>
            <w:tcW w:w="1237" w:type="dxa"/>
            <w:shd w:val="clear" w:color="auto" w:fill="auto"/>
            <w:vAlign w:val="center"/>
          </w:tcPr>
          <w:p w14:paraId="0B119DE9">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劳动教育</w:t>
            </w:r>
          </w:p>
        </w:tc>
        <w:tc>
          <w:tcPr>
            <w:tcW w:w="2339" w:type="dxa"/>
            <w:shd w:val="clear" w:color="auto" w:fill="auto"/>
            <w:vAlign w:val="top"/>
          </w:tcPr>
          <w:p w14:paraId="777A2D87">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1.理解和形成马克思主义劳动观；</w:t>
            </w:r>
          </w:p>
          <w:p w14:paraId="2453F9ED">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2.牢固树立劳动最光荣、劳动最崇高劳动最伟大、劳动最美丽的观念；</w:t>
            </w:r>
          </w:p>
          <w:p w14:paraId="7F66C454">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3.培养勤俭、奋斗、创新、奉献的劳动精神，树立“以劳润德、以劳正心、生活本位”的劳动理念，培养大学生运用所学专业创造美好生活的能力</w:t>
            </w:r>
          </w:p>
        </w:tc>
        <w:tc>
          <w:tcPr>
            <w:tcW w:w="2402" w:type="dxa"/>
            <w:shd w:val="clear" w:color="auto" w:fill="auto"/>
            <w:vAlign w:val="top"/>
          </w:tcPr>
          <w:p w14:paraId="116EFE5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以日常生活劳动、生产劳动和服务性劳动等实践活动为主，开展劳动精神、 劳模精神、工匠精神专题教育，进行校园卫生保洁、绿化美化和寝室卫生打 扫等； 围绕创新创业，结合专业积极开展实习实训、专业服务、社会实践、 勤工助学等</w:t>
            </w:r>
          </w:p>
        </w:tc>
        <w:tc>
          <w:tcPr>
            <w:tcW w:w="3306" w:type="dxa"/>
            <w:shd w:val="clear" w:color="auto" w:fill="auto"/>
            <w:vAlign w:val="top"/>
          </w:tcPr>
          <w:p w14:paraId="5110C4EA">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基于实践，围绕课程内容设计教学活动，注重探讨式和体验式学习；根据课程内容、结合学生特点，设计适合学生更</w:t>
            </w:r>
            <w:r>
              <w:rPr>
                <w:rFonts w:hint="eastAsia" w:ascii="Times New Roman" w:hAnsi="Times New Roman" w:eastAsia="楷体" w:cs="Times New Roman"/>
                <w:color w:val="auto"/>
                <w:sz w:val="20"/>
                <w:szCs w:val="20"/>
                <w:lang w:eastAsia="zh-CN"/>
              </w:rPr>
              <w:t>好地</w:t>
            </w:r>
            <w:r>
              <w:rPr>
                <w:rFonts w:hint="default" w:ascii="Times New Roman" w:hAnsi="Times New Roman" w:eastAsia="楷体" w:cs="Times New Roman"/>
                <w:color w:val="auto"/>
                <w:sz w:val="20"/>
                <w:szCs w:val="20"/>
              </w:rPr>
              <w:t>认知劳动的活动或议题。把劳动教育融入日常教学工作，为学生创造形式多样的劳动实践机会，引导学生深入理解劳动的价值，通过课堂内外的劳动实践活动来体会辛勤劳动、诚实劳动以及创造性劳动的真实意义，让学生懂得劳动才是成就自身技能梦想的有效途径</w:t>
            </w:r>
          </w:p>
        </w:tc>
      </w:tr>
      <w:tr w14:paraId="5C01D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68723785">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15</w:t>
            </w:r>
          </w:p>
        </w:tc>
        <w:tc>
          <w:tcPr>
            <w:tcW w:w="1237" w:type="dxa"/>
            <w:shd w:val="clear" w:color="auto" w:fill="auto"/>
            <w:vAlign w:val="center"/>
          </w:tcPr>
          <w:p w14:paraId="320620B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学生体质健康监测</w:t>
            </w:r>
          </w:p>
        </w:tc>
        <w:tc>
          <w:tcPr>
            <w:tcW w:w="2339" w:type="dxa"/>
            <w:shd w:val="clear" w:color="auto" w:fill="auto"/>
            <w:vAlign w:val="top"/>
          </w:tcPr>
          <w:p w14:paraId="2056D72C">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1.从身体形态、身体机能和身体素质等方面综合评定学生的体质健康水平；</w:t>
            </w:r>
          </w:p>
          <w:p w14:paraId="7170F81B">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2.促进学生体质健康发展、激励学生积极进行身体锻炼；</w:t>
            </w:r>
          </w:p>
          <w:p w14:paraId="1F263F30">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3.促进学生发展核心素养体系，提升学业质量标准</w:t>
            </w:r>
          </w:p>
        </w:tc>
        <w:tc>
          <w:tcPr>
            <w:tcW w:w="2402" w:type="dxa"/>
            <w:shd w:val="clear" w:color="auto" w:fill="auto"/>
            <w:vAlign w:val="top"/>
          </w:tcPr>
          <w:p w14:paraId="343DCA9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测试内容：身高、体重、肺活量、50米跑、坐位体前屈、立定跳远、引体向上（男）/1分钟仰卧起坐（女）、1000米跑（男）/800米跑（女）</w:t>
            </w:r>
          </w:p>
        </w:tc>
        <w:tc>
          <w:tcPr>
            <w:tcW w:w="3306" w:type="dxa"/>
            <w:shd w:val="clear" w:color="auto" w:fill="auto"/>
            <w:vAlign w:val="top"/>
          </w:tcPr>
          <w:p w14:paraId="79381E2A">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学生测试成绩评定达到良好及以上者，方可参加评优与评奖；成绩达到优秀者，方可</w:t>
            </w:r>
            <w:r>
              <w:rPr>
                <w:rFonts w:hint="eastAsia" w:ascii="Times New Roman" w:hAnsi="Times New Roman" w:eastAsia="楷体" w:cs="Times New Roman"/>
                <w:color w:val="auto"/>
                <w:sz w:val="20"/>
                <w:szCs w:val="20"/>
                <w:lang w:eastAsia="zh-CN"/>
              </w:rPr>
              <w:t>获得</w:t>
            </w:r>
            <w:r>
              <w:rPr>
                <w:rFonts w:hint="default" w:ascii="Times New Roman" w:hAnsi="Times New Roman" w:eastAsia="楷体" w:cs="Times New Roman"/>
                <w:color w:val="auto"/>
                <w:sz w:val="20"/>
                <w:szCs w:val="20"/>
              </w:rPr>
              <w:t>体育奖学分。测试成绩评定不及格者，在本学年度准予补测一次，补测仍不及格，则学年成绩评定为不及格。普通高等学校学生毕业时，《标准》测试的成绩达不到50分者按结业或肄业处理</w:t>
            </w:r>
          </w:p>
        </w:tc>
      </w:tr>
      <w:tr w14:paraId="5A1F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7119EF7D">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16</w:t>
            </w:r>
          </w:p>
        </w:tc>
        <w:tc>
          <w:tcPr>
            <w:tcW w:w="1237" w:type="dxa"/>
            <w:shd w:val="clear" w:color="auto" w:fill="auto"/>
            <w:vAlign w:val="center"/>
          </w:tcPr>
          <w:p w14:paraId="21CF72B0">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学生心理体验课堂</w:t>
            </w:r>
          </w:p>
        </w:tc>
        <w:tc>
          <w:tcPr>
            <w:tcW w:w="2339" w:type="dxa"/>
            <w:shd w:val="clear" w:color="auto" w:fill="auto"/>
            <w:vAlign w:val="top"/>
          </w:tcPr>
          <w:p w14:paraId="181EC8DF">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1.维护学生的身心健康、生命安全和校园的和谐稳定；</w:t>
            </w:r>
          </w:p>
          <w:p w14:paraId="641675A0">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2.提高学生心理调适能力，增强心理保健意识</w:t>
            </w:r>
          </w:p>
        </w:tc>
        <w:tc>
          <w:tcPr>
            <w:tcW w:w="2402" w:type="dxa"/>
            <w:shd w:val="clear" w:color="auto" w:fill="auto"/>
            <w:vAlign w:val="top"/>
          </w:tcPr>
          <w:p w14:paraId="4240826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个案咨询、团体辅导、心理健康月主题系列活动</w:t>
            </w:r>
          </w:p>
        </w:tc>
        <w:tc>
          <w:tcPr>
            <w:tcW w:w="3306" w:type="dxa"/>
            <w:shd w:val="clear" w:color="auto" w:fill="auto"/>
            <w:vAlign w:val="top"/>
          </w:tcPr>
          <w:p w14:paraId="25E1586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积极构建发展性咨询与障碍性咨询相结合、团体辅导与个别咨询相结合、线下咨询与网络咨询相结合的心理咨询服务体系；精心设计和综合运用各种活动教育载体，注重不断创新活动载体，多渠道、多形式、多媒介地贴近学生需求及活动开展的系统性，助力学生健康成长、全面发展</w:t>
            </w:r>
          </w:p>
        </w:tc>
      </w:tr>
      <w:tr w14:paraId="6EA2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02C870FF">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17</w:t>
            </w:r>
          </w:p>
        </w:tc>
        <w:tc>
          <w:tcPr>
            <w:tcW w:w="1237" w:type="dxa"/>
            <w:shd w:val="clear" w:color="auto" w:fill="auto"/>
            <w:vAlign w:val="center"/>
          </w:tcPr>
          <w:p w14:paraId="14DFC1EB">
            <w:pPr>
              <w:keepNext w:val="0"/>
              <w:keepLines w:val="0"/>
              <w:pageBreakBefore w:val="0"/>
              <w:kinsoku/>
              <w:wordWrap/>
              <w:topLinePunct w:val="0"/>
              <w:bidi w:val="0"/>
              <w:jc w:val="center"/>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大学生职业生涯</w:t>
            </w:r>
          </w:p>
          <w:p w14:paraId="3BDF2BEE">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规划</w:t>
            </w:r>
          </w:p>
        </w:tc>
        <w:tc>
          <w:tcPr>
            <w:tcW w:w="2339" w:type="dxa"/>
            <w:shd w:val="clear" w:color="auto" w:fill="auto"/>
            <w:vAlign w:val="center"/>
          </w:tcPr>
          <w:p w14:paraId="030ED2A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1.掌握系统职业生涯规划的具体内容和基本理论；</w:t>
            </w:r>
          </w:p>
          <w:p w14:paraId="4E1CB75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2.能熟练地运用职业生涯规划的方</w:t>
            </w:r>
            <w:r>
              <w:rPr>
                <w:rFonts w:hint="eastAsia" w:ascii="Times New Roman" w:hAnsi="Times New Roman" w:eastAsia="楷体" w:cs="Times New Roman"/>
                <w:color w:val="auto"/>
                <w:sz w:val="20"/>
                <w:szCs w:val="20"/>
                <w:lang w:val="en-US" w:eastAsia="zh-CN"/>
              </w:rPr>
              <w:t>法和</w:t>
            </w:r>
            <w:r>
              <w:rPr>
                <w:rFonts w:hint="default" w:ascii="Times New Roman" w:hAnsi="Times New Roman" w:eastAsia="楷体" w:cs="Times New Roman"/>
                <w:color w:val="auto"/>
                <w:sz w:val="20"/>
                <w:szCs w:val="20"/>
                <w:lang w:val="en-US" w:eastAsia="zh-CN"/>
              </w:rPr>
              <w:t>工具、策略进行生涯抉择和管理；</w:t>
            </w:r>
          </w:p>
          <w:p w14:paraId="19B6418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3.唤醒学生生涯发展内驱力，树立学业规划和职业生涯应变意识</w:t>
            </w:r>
          </w:p>
        </w:tc>
        <w:tc>
          <w:tcPr>
            <w:tcW w:w="2402" w:type="dxa"/>
            <w:shd w:val="clear" w:color="auto" w:fill="auto"/>
            <w:vAlign w:val="center"/>
          </w:tcPr>
          <w:p w14:paraId="41686249">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认知大学生活与职业规划；学会自我认知；加强职业认知；职业生涯规划的决策与实施；评估与修正职业生涯规划；学会管理职业生涯</w:t>
            </w:r>
          </w:p>
        </w:tc>
        <w:tc>
          <w:tcPr>
            <w:tcW w:w="3306" w:type="dxa"/>
            <w:shd w:val="clear" w:color="auto" w:fill="auto"/>
            <w:vAlign w:val="center"/>
          </w:tcPr>
          <w:p w14:paraId="6EA2DC1D">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关注学生的职业生涯发展，立足于学生职业生涯发展能力的培养和知识的实际应用，立足于与职业生活和学生实际生活的紧密结合，强调职业生涯发展指导的实效性；为学生提供个性化指导，使每个学生都能体验到学习的乐趣以及实用性，以满足自我发展的需要</w:t>
            </w:r>
          </w:p>
        </w:tc>
      </w:tr>
      <w:tr w14:paraId="14AC6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6198BEDB">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18</w:t>
            </w:r>
          </w:p>
        </w:tc>
        <w:tc>
          <w:tcPr>
            <w:tcW w:w="1237" w:type="dxa"/>
            <w:shd w:val="clear" w:color="auto" w:fill="auto"/>
            <w:vAlign w:val="center"/>
          </w:tcPr>
          <w:p w14:paraId="1D1EAA47">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就业与创业指导</w:t>
            </w:r>
          </w:p>
        </w:tc>
        <w:tc>
          <w:tcPr>
            <w:tcW w:w="2339" w:type="dxa"/>
            <w:shd w:val="clear" w:color="auto" w:fill="auto"/>
            <w:vAlign w:val="center"/>
          </w:tcPr>
          <w:p w14:paraId="7A83245A">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1.掌握就业创业的基本形势、政策、途径以及求职方法和技巧；</w:t>
            </w:r>
          </w:p>
          <w:p w14:paraId="66945C67">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2.能进行人职匹配分析，系统练习、提升求职创业能力；</w:t>
            </w:r>
          </w:p>
          <w:p w14:paraId="5BD18E14">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3.引导学生形成科学合理的就业观念培养学生的竞争意识，帮助学生打通职业通道</w:t>
            </w:r>
          </w:p>
        </w:tc>
        <w:tc>
          <w:tcPr>
            <w:tcW w:w="2402" w:type="dxa"/>
            <w:shd w:val="clear" w:color="auto" w:fill="auto"/>
            <w:vAlign w:val="center"/>
          </w:tcPr>
          <w:p w14:paraId="7547E20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当前就业形势与政策，医学毕业生的就业途径和形式；就业信息收集和运用； 就业法律法规；创业基本理论</w:t>
            </w:r>
          </w:p>
        </w:tc>
        <w:tc>
          <w:tcPr>
            <w:tcW w:w="3306" w:type="dxa"/>
            <w:shd w:val="clear" w:color="auto" w:fill="auto"/>
            <w:vAlign w:val="center"/>
          </w:tcPr>
          <w:p w14:paraId="76371093">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培养和提升学生的职业素养和求职竞争力，并根据医学学科特点，引导学生形成科学合理的就业观念，了解求职就业的基本方法和技巧，帮助学生顺利就业、适应职场</w:t>
            </w:r>
            <w:r>
              <w:rPr>
                <w:rFonts w:hint="eastAsia" w:ascii="Times New Roman" w:hAnsi="Times New Roman" w:eastAsia="楷体" w:cs="Times New Roman"/>
                <w:color w:val="auto"/>
                <w:sz w:val="20"/>
                <w:szCs w:val="20"/>
                <w:lang w:eastAsia="zh-CN"/>
              </w:rPr>
              <w:t>和可持续发展</w:t>
            </w:r>
          </w:p>
        </w:tc>
      </w:tr>
      <w:tr w14:paraId="2A94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4EF85B54">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19</w:t>
            </w:r>
          </w:p>
        </w:tc>
        <w:tc>
          <w:tcPr>
            <w:tcW w:w="1237" w:type="dxa"/>
            <w:shd w:val="clear" w:color="auto" w:fill="auto"/>
            <w:vAlign w:val="center"/>
          </w:tcPr>
          <w:p w14:paraId="6BB39EB5">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卫生法律法规</w:t>
            </w:r>
          </w:p>
        </w:tc>
        <w:tc>
          <w:tcPr>
            <w:tcW w:w="2339" w:type="dxa"/>
            <w:shd w:val="clear" w:color="auto" w:fill="auto"/>
            <w:vAlign w:val="top"/>
          </w:tcPr>
          <w:p w14:paraId="711828E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1.掌握卫生法律法规的基本理论，对本学科的</w:t>
            </w:r>
            <w:r>
              <w:rPr>
                <w:rFonts w:hint="eastAsia" w:ascii="Times New Roman" w:hAnsi="Times New Roman" w:eastAsia="楷体" w:cs="Times New Roman"/>
                <w:color w:val="auto"/>
                <w:sz w:val="20"/>
                <w:szCs w:val="20"/>
                <w:lang w:val="en-US" w:eastAsia="zh-CN"/>
              </w:rPr>
              <w:t>基本概念</w:t>
            </w:r>
            <w:r>
              <w:rPr>
                <w:rFonts w:hint="default" w:ascii="Times New Roman" w:hAnsi="Times New Roman" w:eastAsia="楷体" w:cs="Times New Roman"/>
                <w:color w:val="auto"/>
                <w:sz w:val="20"/>
                <w:szCs w:val="20"/>
                <w:lang w:val="en-US" w:eastAsia="zh-CN"/>
              </w:rPr>
              <w:t>、基本理论；</w:t>
            </w:r>
          </w:p>
          <w:p w14:paraId="3F3604D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2.使学生具有法律思维、法律意识以及辨证思维，具备初步处理医护的法律问题的能力；</w:t>
            </w:r>
          </w:p>
          <w:p w14:paraId="52AE48D7">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3.培养学生的动手能力及发现问题和分析解决问题的能力</w:t>
            </w:r>
          </w:p>
        </w:tc>
        <w:tc>
          <w:tcPr>
            <w:tcW w:w="2402" w:type="dxa"/>
            <w:shd w:val="clear" w:color="auto" w:fill="auto"/>
            <w:vAlign w:val="top"/>
          </w:tcPr>
          <w:p w14:paraId="0C4FF13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卫生法律法规的概念、卫生法的渊源与体系、卫生法律法规的规范作用和社 会作用、卫生技术人员管理法律制度、医疗事故处理法律制度、传染病防治 法、献血法、药品管理法等</w:t>
            </w:r>
          </w:p>
        </w:tc>
        <w:tc>
          <w:tcPr>
            <w:tcW w:w="3306" w:type="dxa"/>
            <w:shd w:val="clear" w:color="auto" w:fill="auto"/>
            <w:vAlign w:val="top"/>
          </w:tcPr>
          <w:p w14:paraId="051A6F67">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以就业岗位对从业人员法律知识的需求为核心，以法律法规为线索，遵循“必需、够用，兼顾发展”的原则，通过案例分析、法条解读、解决医疗事故纠纷等活动，构建完整严谨的思维模式，形成相应的职业能力。教学应以实际案例为载体，设计教学活动，重点突出法律知识运用的培养，同时融合相关职业资格证书的知识与技能要求，使学生通过本课程的学习，具有一定的职业法律知识储备和思维素质</w:t>
            </w:r>
          </w:p>
        </w:tc>
      </w:tr>
      <w:tr w14:paraId="14AAD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6F22B356">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20</w:t>
            </w:r>
          </w:p>
        </w:tc>
        <w:tc>
          <w:tcPr>
            <w:tcW w:w="1237" w:type="dxa"/>
            <w:shd w:val="clear" w:color="auto" w:fill="auto"/>
            <w:vAlign w:val="center"/>
          </w:tcPr>
          <w:p w14:paraId="793E8F0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急救知识与技术</w:t>
            </w:r>
          </w:p>
        </w:tc>
        <w:tc>
          <w:tcPr>
            <w:tcW w:w="2339" w:type="dxa"/>
            <w:shd w:val="clear" w:color="auto" w:fill="auto"/>
            <w:vAlign w:val="top"/>
          </w:tcPr>
          <w:p w14:paraId="6610E080">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1.掌握急救基础理论知识，急救技能的操作流程，了解常见急症的识别与处理；                           </w:t>
            </w:r>
          </w:p>
          <w:p w14:paraId="2D167169">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2.能够准确判断病情，熟练运用急救技能，有效进行团队协作，具备急救现场管理能力；        </w:t>
            </w:r>
          </w:p>
          <w:p w14:paraId="408BFA9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3.培养急救意识，提高心理素质，增强社会责任感，培养终身学习的态度</w:t>
            </w:r>
          </w:p>
        </w:tc>
        <w:tc>
          <w:tcPr>
            <w:tcW w:w="2402" w:type="dxa"/>
            <w:shd w:val="clear" w:color="auto" w:fill="auto"/>
            <w:vAlign w:val="top"/>
          </w:tcPr>
          <w:p w14:paraId="18A1878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院前急救，心肺复苏，止血、包扎、固定、搬运</w:t>
            </w:r>
          </w:p>
        </w:tc>
        <w:tc>
          <w:tcPr>
            <w:tcW w:w="3306" w:type="dxa"/>
            <w:shd w:val="clear" w:color="auto" w:fill="auto"/>
            <w:vAlign w:val="top"/>
          </w:tcPr>
          <w:p w14:paraId="3B259EC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理论知识掌握：学生应熟悉上述各项教学内容的理论知识，包括概念、步骤、注意事项等。实践技能操作：学生应通过实训操作，掌握心肺复苏、止血、包扎、固定、搬运等急救技能，并能正确、熟练地进行操作。安全意识培养：强调在急救过程中的安全意识，包括自我保护、避免二次伤害等。团队协作与沟通：培养学生在紧急救援中的团队协作能力和沟通技巧，确保救援工作的顺利进行</w:t>
            </w:r>
          </w:p>
        </w:tc>
      </w:tr>
      <w:tr w14:paraId="431DE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4298B34F">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21</w:t>
            </w:r>
          </w:p>
        </w:tc>
        <w:tc>
          <w:tcPr>
            <w:tcW w:w="1237" w:type="dxa"/>
            <w:shd w:val="clear" w:color="auto" w:fill="auto"/>
            <w:vAlign w:val="center"/>
          </w:tcPr>
          <w:p w14:paraId="51B4AA26">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普通话学习与训练</w:t>
            </w:r>
          </w:p>
        </w:tc>
        <w:tc>
          <w:tcPr>
            <w:tcW w:w="2339" w:type="dxa"/>
            <w:shd w:val="clear" w:color="auto" w:fill="auto"/>
            <w:vAlign w:val="center"/>
          </w:tcPr>
          <w:p w14:paraId="2C29368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1.学生系统掌握普通话语音、词汇、语法等基础知识与规范，了解测试标准、流程和评分细则；</w:t>
            </w:r>
          </w:p>
          <w:p w14:paraId="2B4C9DF1">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2.准确流利地进行朗读、说话和演讲，具备听辨和自纠错误能力，熟练掌握应试技巧并取得理想成绩；</w:t>
            </w:r>
          </w:p>
          <w:p w14:paraId="7DBA99FD">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3.培养热爱与重视普通话的意识，增强交流自信心和积极性；</w:t>
            </w:r>
          </w:p>
          <w:p w14:paraId="568D0307">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4.在各类实际情境中自如运用普通话有效沟通，为从事相关职业奠定基础</w:t>
            </w:r>
          </w:p>
        </w:tc>
        <w:tc>
          <w:tcPr>
            <w:tcW w:w="2402" w:type="dxa"/>
            <w:shd w:val="clear" w:color="auto" w:fill="auto"/>
            <w:vAlign w:val="center"/>
          </w:tcPr>
          <w:p w14:paraId="5D76290A">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普通话语音声母、韵母、声调及音变的发音与规则。常用词汇用法，方言与普通话词汇转换。语法结构与常见错误分析。 不同体裁文章朗读技巧。主题口语表达与逻辑思维培养。听标准普通话音频辨错。按题型模拟练习，分析易错重点。普通话发展历史和文化内涵。参加推广活动和朗诵比赛</w:t>
            </w:r>
          </w:p>
        </w:tc>
        <w:tc>
          <w:tcPr>
            <w:tcW w:w="3306" w:type="dxa"/>
            <w:shd w:val="clear" w:color="auto" w:fill="auto"/>
            <w:vAlign w:val="center"/>
          </w:tcPr>
          <w:p w14:paraId="66B17C4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教师必须具备专业的普通话水平和教学能力，能够准确示范发音，清晰讲解知识。设计丰富多样、针对性强的教学活动和练习，及时给予学生准确的反馈和指导。学生积极参与课堂活动，认真听讲，按时完成作业和练习。自我监督，养成日常使用普通话交流的习惯，不断自我纠正错误。教学资源方面配备充足的教材、音频视频资料，以及现代化的教学设备，如语音实验室等。教学方法方面采用理论与实践相结合的教学方式，注重个性化教学，满足不同学生的需求。在考核方面建立科学合理的考核评价体系，全面评估学生的普通话水平和学习效果</w:t>
            </w:r>
          </w:p>
        </w:tc>
      </w:tr>
      <w:tr w14:paraId="0E83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6E2193CC">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22</w:t>
            </w:r>
          </w:p>
        </w:tc>
        <w:tc>
          <w:tcPr>
            <w:tcW w:w="1237" w:type="dxa"/>
            <w:shd w:val="clear" w:color="auto" w:fill="auto"/>
            <w:vAlign w:val="center"/>
          </w:tcPr>
          <w:p w14:paraId="2EA9F284">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“四</w:t>
            </w:r>
            <w:r>
              <w:rPr>
                <w:rFonts w:hint="default" w:ascii="Times New Roman" w:hAnsi="Times New Roman" w:eastAsia="楷体" w:cs="Times New Roman"/>
                <w:color w:val="auto"/>
                <w:sz w:val="20"/>
                <w:szCs w:val="20"/>
              </w:rPr>
              <w:t>史</w:t>
            </w:r>
            <w:r>
              <w:rPr>
                <w:rFonts w:hint="default" w:ascii="Times New Roman" w:hAnsi="Times New Roman" w:eastAsia="楷体" w:cs="Times New Roman"/>
                <w:color w:val="auto"/>
                <w:sz w:val="20"/>
                <w:szCs w:val="20"/>
                <w:lang w:val="en-US" w:eastAsia="zh-CN"/>
              </w:rPr>
              <w:t>”</w:t>
            </w:r>
            <w:r>
              <w:rPr>
                <w:rFonts w:hint="default" w:ascii="Times New Roman" w:hAnsi="Times New Roman" w:eastAsia="楷体" w:cs="Times New Roman"/>
                <w:color w:val="auto"/>
                <w:sz w:val="20"/>
                <w:szCs w:val="20"/>
              </w:rPr>
              <w:t>教育</w:t>
            </w:r>
          </w:p>
        </w:tc>
        <w:tc>
          <w:tcPr>
            <w:tcW w:w="2339" w:type="dxa"/>
            <w:shd w:val="clear" w:color="auto" w:fill="auto"/>
            <w:vAlign w:val="center"/>
          </w:tcPr>
          <w:p w14:paraId="79F8803C">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1.掌握</w:t>
            </w:r>
            <w:r>
              <w:rPr>
                <w:rFonts w:hint="eastAsia" w:ascii="Times New Roman" w:hAnsi="Times New Roman" w:eastAsia="楷体" w:cs="Times New Roman"/>
                <w:color w:val="auto"/>
                <w:sz w:val="20"/>
                <w:szCs w:val="20"/>
                <w:lang w:eastAsia="zh-CN"/>
              </w:rPr>
              <w:t>党史、新中国史、改革开放史、社会主义发展史</w:t>
            </w:r>
            <w:r>
              <w:rPr>
                <w:rFonts w:hint="default" w:ascii="Times New Roman" w:hAnsi="Times New Roman" w:eastAsia="楷体" w:cs="Times New Roman"/>
                <w:color w:val="auto"/>
                <w:sz w:val="20"/>
                <w:szCs w:val="20"/>
              </w:rPr>
              <w:t>的基本知识，析事明理提升历史认知水平；</w:t>
            </w:r>
          </w:p>
          <w:p w14:paraId="2CFECDB1">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2.能深入了解中国共产党一百年光辉历程，深入了解中华民族从站起来、富起来到强起来的风雨历程，树立正确历史观，坚决摒弃历史虚无主义；</w:t>
            </w:r>
          </w:p>
          <w:p w14:paraId="550DD21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3.树立爱党、爱国、爱社会主义、爱人民、爱英雄情怀，坚定对马克思主义的信仰、对中国特色社会主义的信念、对中华民族伟大复兴中国梦的信心</w:t>
            </w:r>
          </w:p>
        </w:tc>
        <w:tc>
          <w:tcPr>
            <w:tcW w:w="2402" w:type="dxa"/>
            <w:shd w:val="clear" w:color="auto" w:fill="auto"/>
            <w:vAlign w:val="center"/>
          </w:tcPr>
          <w:p w14:paraId="543FF10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主要讲授“四史”，即中国共产党党史、新中国史、改革开放史、社会主义发展史。“四史”教育要以习近平新时代中国特色社会主义思想为指导。“四史”教育要与思想政治教育相统筹，要与加强爱国主义、集体主义、社会主义教育，社会主义核心价值观教育，中华优秀传统文化和革命文化、社会主义先进文化教育，国家意识、法治意识、社会责任意识教育，民族团结进步教育、国家安全教育、科学精神教育等相结合。“四史”教育要以</w:t>
            </w:r>
            <w:r>
              <w:rPr>
                <w:rFonts w:hint="eastAsia" w:ascii="Times New Roman" w:hAnsi="Times New Roman" w:eastAsia="楷体" w:cs="Times New Roman"/>
                <w:color w:val="auto"/>
                <w:sz w:val="20"/>
                <w:szCs w:val="20"/>
                <w:lang w:eastAsia="zh-CN"/>
              </w:rPr>
              <w:t>党史学习教育</w:t>
            </w:r>
            <w:r>
              <w:rPr>
                <w:rFonts w:hint="default" w:ascii="Times New Roman" w:hAnsi="Times New Roman" w:eastAsia="楷体" w:cs="Times New Roman"/>
                <w:color w:val="auto"/>
                <w:sz w:val="20"/>
                <w:szCs w:val="20"/>
              </w:rPr>
              <w:t>为重点</w:t>
            </w:r>
          </w:p>
        </w:tc>
        <w:tc>
          <w:tcPr>
            <w:tcW w:w="3306" w:type="dxa"/>
            <w:shd w:val="clear" w:color="auto" w:fill="auto"/>
            <w:vAlign w:val="center"/>
          </w:tcPr>
          <w:p w14:paraId="7F711B91">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加强以</w:t>
            </w:r>
            <w:r>
              <w:rPr>
                <w:rFonts w:hint="eastAsia" w:ascii="Times New Roman" w:hAnsi="Times New Roman" w:eastAsia="楷体" w:cs="Times New Roman"/>
                <w:color w:val="auto"/>
                <w:sz w:val="20"/>
                <w:szCs w:val="20"/>
                <w:lang w:eastAsia="zh-CN"/>
              </w:rPr>
              <w:t>党史学习教育</w:t>
            </w:r>
            <w:r>
              <w:rPr>
                <w:rFonts w:hint="default" w:ascii="Times New Roman" w:hAnsi="Times New Roman" w:eastAsia="楷体" w:cs="Times New Roman"/>
                <w:color w:val="auto"/>
                <w:sz w:val="20"/>
                <w:szCs w:val="20"/>
              </w:rPr>
              <w:t>为重点的“四史”教育，要以习近平新时代中国特色社会主义思想为指导，全面落实立德树人根本任务。准确把握教材基本精神，充分利用媒体资源、创新方式方法，通过“周末理论大讲堂”等组织上好网络大课，创新网络教学形式。采取理论与实践结合、线上与线下结合、教师讲授与学生</w:t>
            </w:r>
            <w:r>
              <w:rPr>
                <w:rFonts w:hint="eastAsia" w:ascii="Times New Roman" w:hAnsi="Times New Roman" w:eastAsia="楷体" w:cs="Times New Roman"/>
                <w:color w:val="auto"/>
                <w:sz w:val="20"/>
                <w:szCs w:val="20"/>
                <w:lang w:eastAsia="zh-CN"/>
              </w:rPr>
              <w:t>读原著、学原文、悟原理</w:t>
            </w:r>
            <w:r>
              <w:rPr>
                <w:rFonts w:hint="default" w:ascii="Times New Roman" w:hAnsi="Times New Roman" w:eastAsia="楷体" w:cs="Times New Roman"/>
                <w:color w:val="auto"/>
                <w:sz w:val="20"/>
                <w:szCs w:val="20"/>
              </w:rPr>
              <w:t>结合等方式开展教学，有效提升学生的政治认同、思想认同、情感认同，真正做到“学史明理、学史增信、学史崇德、学史力行”</w:t>
            </w:r>
          </w:p>
        </w:tc>
      </w:tr>
      <w:tr w14:paraId="5C03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631C1FAE">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23</w:t>
            </w:r>
          </w:p>
        </w:tc>
        <w:tc>
          <w:tcPr>
            <w:tcW w:w="1237" w:type="dxa"/>
            <w:shd w:val="clear" w:color="auto" w:fill="auto"/>
            <w:vAlign w:val="center"/>
          </w:tcPr>
          <w:p w14:paraId="1BCF6F8F">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中华优秀传统文化</w:t>
            </w:r>
          </w:p>
        </w:tc>
        <w:tc>
          <w:tcPr>
            <w:tcW w:w="2339" w:type="dxa"/>
            <w:shd w:val="clear" w:color="auto" w:fill="auto"/>
            <w:vAlign w:val="top"/>
          </w:tcPr>
          <w:p w14:paraId="17C8AC7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1.诵读、鉴赏中国传统优秀文学作品，感受文学作品的艺术形式，领悟其审美意蕴；</w:t>
            </w:r>
          </w:p>
          <w:p w14:paraId="6FC2E98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2.能够正确、规范</w:t>
            </w:r>
            <w:r>
              <w:rPr>
                <w:rFonts w:hint="eastAsia" w:ascii="Times New Roman" w:hAnsi="Times New Roman" w:eastAsia="楷体" w:cs="Times New Roman"/>
                <w:color w:val="auto"/>
                <w:sz w:val="20"/>
                <w:szCs w:val="20"/>
                <w:lang w:val="en-US" w:eastAsia="zh-CN"/>
              </w:rPr>
              <w:t>地</w:t>
            </w:r>
            <w:r>
              <w:rPr>
                <w:rFonts w:hint="default" w:ascii="Times New Roman" w:hAnsi="Times New Roman" w:eastAsia="楷体" w:cs="Times New Roman"/>
                <w:color w:val="auto"/>
                <w:sz w:val="20"/>
                <w:szCs w:val="20"/>
                <w:lang w:val="en-US" w:eastAsia="zh-CN"/>
              </w:rPr>
              <w:t>使用汉语进行书写和表达交流。为学生的专业学习和终身发展夯实基础；</w:t>
            </w:r>
          </w:p>
          <w:p w14:paraId="25BAC60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3.增强对中华优秀传统文化的认同感和自豪感，有民族文化自信，促进学生继承并发扬传统文化，修养学生行为、重塑学生人格、提升学生文化素养</w:t>
            </w:r>
          </w:p>
        </w:tc>
        <w:tc>
          <w:tcPr>
            <w:tcW w:w="2402" w:type="dxa"/>
            <w:shd w:val="clear" w:color="auto" w:fill="auto"/>
            <w:vAlign w:val="center"/>
          </w:tcPr>
          <w:p w14:paraId="62647113">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主要讲授国学经典，以中国传统文化的基本精神为主线，分模块，从多层次、多角度展示儒道释文化，史学、文学、音乐、绘画、书法等中国传统文化的主要内容和特色，通过朗诵、诵读和鉴赏，理解中国传统文化思想的内涵，增强文化底蕴，提升语言文字的使用规范及语言审美鉴赏力。确定中华优秀传统文化的主题内容，突出核心思想理念、中华人文精神、中华传统美德三个方面，明确每个方面的具体内涵，以此作为课程教材遴选内容的根本遵循</w:t>
            </w:r>
          </w:p>
        </w:tc>
        <w:tc>
          <w:tcPr>
            <w:tcW w:w="3306" w:type="dxa"/>
            <w:shd w:val="clear" w:color="auto" w:fill="auto"/>
            <w:vAlign w:val="center"/>
          </w:tcPr>
          <w:p w14:paraId="56622A2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以落实立德树人根本任务为目的，将培育学生的学科核心素养贯穿于教学活动全过程。创新网络教学形式，利用网络平台，建设传统文化课程网站、微信公众号等平台，为学生提供更加便捷的学习方式。同时，还可以利用虚拟现实技术，将传统文化场景进行还原和展示，让学生更加深入地体验传统文化的魅力。注重理论与实践相结合，组织学生参观博物馆、文化遗址等场所，让学生更加深入地了解中华优秀传统文化的历史和内涵，领会中华优秀传统文化的精髓</w:t>
            </w:r>
          </w:p>
        </w:tc>
      </w:tr>
      <w:tr w14:paraId="433C5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1B3C7E0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24</w:t>
            </w:r>
          </w:p>
        </w:tc>
        <w:tc>
          <w:tcPr>
            <w:tcW w:w="1237" w:type="dxa"/>
            <w:shd w:val="clear" w:color="auto" w:fill="auto"/>
            <w:vAlign w:val="center"/>
          </w:tcPr>
          <w:p w14:paraId="2CF0E9AA">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大学</w:t>
            </w:r>
            <w:r>
              <w:rPr>
                <w:rFonts w:hint="default" w:ascii="Times New Roman" w:hAnsi="Times New Roman" w:eastAsia="楷体" w:cs="Times New Roman"/>
                <w:color w:val="auto"/>
                <w:sz w:val="20"/>
                <w:szCs w:val="20"/>
              </w:rPr>
              <w:t>美育</w:t>
            </w:r>
          </w:p>
        </w:tc>
        <w:tc>
          <w:tcPr>
            <w:tcW w:w="2339" w:type="dxa"/>
            <w:shd w:val="clear" w:color="auto" w:fill="auto"/>
            <w:vAlign w:val="top"/>
          </w:tcPr>
          <w:p w14:paraId="3DF035DB">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1.理解并掌握中外美术鉴赏</w:t>
            </w:r>
            <w:r>
              <w:rPr>
                <w:rFonts w:hint="eastAsia" w:ascii="Times New Roman" w:hAnsi="Times New Roman" w:eastAsia="楷体" w:cs="Times New Roman"/>
                <w:color w:val="auto"/>
                <w:sz w:val="20"/>
                <w:szCs w:val="20"/>
                <w:lang w:val="en-US" w:eastAsia="zh-CN"/>
              </w:rPr>
              <w:t>基本</w:t>
            </w:r>
            <w:r>
              <w:rPr>
                <w:rFonts w:hint="default" w:ascii="Times New Roman" w:hAnsi="Times New Roman" w:eastAsia="楷体" w:cs="Times New Roman"/>
                <w:color w:val="auto"/>
                <w:sz w:val="20"/>
                <w:szCs w:val="20"/>
                <w:lang w:val="en-US" w:eastAsia="zh-CN"/>
              </w:rPr>
              <w:t>理论知识，了解具象艺术</w:t>
            </w:r>
            <w:r>
              <w:rPr>
                <w:rFonts w:hint="eastAsia" w:ascii="Times New Roman" w:hAnsi="Times New Roman" w:eastAsia="楷体" w:cs="Times New Roman"/>
                <w:color w:val="auto"/>
                <w:sz w:val="20"/>
                <w:szCs w:val="20"/>
                <w:lang w:val="en-US" w:eastAsia="zh-CN"/>
              </w:rPr>
              <w:t>：</w:t>
            </w:r>
            <w:r>
              <w:rPr>
                <w:rFonts w:hint="default" w:ascii="Times New Roman" w:hAnsi="Times New Roman" w:eastAsia="楷体" w:cs="Times New Roman"/>
                <w:color w:val="auto"/>
                <w:sz w:val="20"/>
                <w:szCs w:val="20"/>
                <w:lang w:val="en-US" w:eastAsia="zh-CN"/>
              </w:rPr>
              <w:t xml:space="preserve">意象艺术和抽象艺术的理论知识； </w:t>
            </w:r>
          </w:p>
          <w:p w14:paraId="525280A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2.提高学生对美的敏锐觉察能</w:t>
            </w:r>
            <w:r>
              <w:rPr>
                <w:rFonts w:hint="eastAsia" w:ascii="Times New Roman" w:hAnsi="Times New Roman" w:eastAsia="楷体" w:cs="Times New Roman"/>
                <w:color w:val="auto"/>
                <w:sz w:val="20"/>
                <w:szCs w:val="20"/>
                <w:lang w:val="en-US" w:eastAsia="zh-CN"/>
              </w:rPr>
              <w:t>力和</w:t>
            </w:r>
            <w:r>
              <w:rPr>
                <w:rFonts w:hint="default" w:ascii="Times New Roman" w:hAnsi="Times New Roman" w:eastAsia="楷体" w:cs="Times New Roman"/>
                <w:color w:val="auto"/>
                <w:sz w:val="20"/>
                <w:szCs w:val="20"/>
                <w:lang w:val="en-US" w:eastAsia="zh-CN"/>
              </w:rPr>
              <w:t>感受能力、认知能力、创造能力，学会用美术语音点线面色体去观察创造形象；</w:t>
            </w:r>
          </w:p>
          <w:p w14:paraId="6943FE31">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3.具有良好的职业道德，科学严谨的工作作风、环境保护意识</w:t>
            </w:r>
          </w:p>
        </w:tc>
        <w:tc>
          <w:tcPr>
            <w:tcW w:w="2402" w:type="dxa"/>
            <w:shd w:val="clear" w:color="auto" w:fill="auto"/>
            <w:vAlign w:val="top"/>
          </w:tcPr>
          <w:p w14:paraId="0BC5797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概述美育，充分挖掘和运用各学科蕴含的体现中华美与精神与民族审美特质 的心灵美、礼乐美、语言美、行为美、科学美、秩序美、健康美、勤劳美、 艺术美等丰富的美育资源，开设音乐、美术、书法、舞蹈、戏剧、戏曲、影 视、剪纸</w:t>
            </w:r>
            <w:r>
              <w:rPr>
                <w:rFonts w:hint="eastAsia" w:ascii="Times New Roman" w:hAnsi="Times New Roman" w:eastAsia="楷体" w:cs="Times New Roman"/>
                <w:color w:val="auto"/>
                <w:sz w:val="20"/>
                <w:szCs w:val="20"/>
                <w:lang w:eastAsia="zh-CN"/>
              </w:rPr>
              <w:t>等</w:t>
            </w:r>
            <w:r>
              <w:rPr>
                <w:rFonts w:hint="default" w:ascii="Times New Roman" w:hAnsi="Times New Roman" w:eastAsia="楷体" w:cs="Times New Roman"/>
                <w:color w:val="auto"/>
                <w:sz w:val="20"/>
                <w:szCs w:val="20"/>
              </w:rPr>
              <w:t>艺术鉴赏内容</w:t>
            </w:r>
          </w:p>
        </w:tc>
        <w:tc>
          <w:tcPr>
            <w:tcW w:w="3306" w:type="dxa"/>
            <w:shd w:val="clear" w:color="auto" w:fill="auto"/>
            <w:vAlign w:val="top"/>
          </w:tcPr>
          <w:p w14:paraId="79BDA95C">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授课时充分运用现代化音像手段，在教学过程中播放图片、音频和视频等资料，做到直观、形象、深刻</w:t>
            </w:r>
            <w:r>
              <w:rPr>
                <w:rFonts w:hint="eastAsia" w:ascii="Times New Roman" w:hAnsi="Times New Roman" w:eastAsia="楷体" w:cs="Times New Roman"/>
                <w:color w:val="auto"/>
                <w:sz w:val="20"/>
                <w:szCs w:val="20"/>
                <w:lang w:eastAsia="zh-CN"/>
              </w:rPr>
              <w:t>；在</w:t>
            </w:r>
            <w:r>
              <w:rPr>
                <w:rFonts w:hint="default" w:ascii="Times New Roman" w:hAnsi="Times New Roman" w:eastAsia="楷体" w:cs="Times New Roman"/>
                <w:color w:val="auto"/>
                <w:sz w:val="20"/>
                <w:szCs w:val="20"/>
              </w:rPr>
              <w:t>审美实践环节可根据条件适当安排观赏演出、参观展览、分析文学或影视作品等活动，使课堂教学上的理论讲授能通过学生的审美实践得到进一步的理解和掌握；另外要鼓励学生课下善于发现美、课上积极交流美，并给学生提供创造美和展示美的平台</w:t>
            </w:r>
          </w:p>
        </w:tc>
      </w:tr>
      <w:tr w14:paraId="685C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50" w:type="dxa"/>
            <w:shd w:val="clear" w:color="auto" w:fill="auto"/>
            <w:vAlign w:val="center"/>
          </w:tcPr>
          <w:p w14:paraId="190CFB7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25</w:t>
            </w:r>
          </w:p>
        </w:tc>
        <w:tc>
          <w:tcPr>
            <w:tcW w:w="1237" w:type="dxa"/>
            <w:shd w:val="clear" w:color="auto" w:fill="auto"/>
            <w:vAlign w:val="center"/>
          </w:tcPr>
          <w:p w14:paraId="57F8E691">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职业素养</w:t>
            </w:r>
          </w:p>
        </w:tc>
        <w:tc>
          <w:tcPr>
            <w:tcW w:w="2339" w:type="dxa"/>
            <w:shd w:val="clear" w:color="auto" w:fill="auto"/>
            <w:vAlign w:val="top"/>
          </w:tcPr>
          <w:p w14:paraId="0947F4E0">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1.掌握职业人文基础知识，理解职业通用能力在职业发展中的重要性，认识基本方法；</w:t>
            </w:r>
          </w:p>
          <w:p w14:paraId="275258F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2.能通过系统学习提升交流沟通、团队协作、自我管理、社会适应性等职业通用能力；</w:t>
            </w:r>
          </w:p>
          <w:p w14:paraId="5448564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3.培养学生终身学习理念，帮助学生拥有良好的职业态度和职业热情</w:t>
            </w:r>
          </w:p>
        </w:tc>
        <w:tc>
          <w:tcPr>
            <w:tcW w:w="2402" w:type="dxa"/>
            <w:shd w:val="clear" w:color="auto" w:fill="auto"/>
            <w:vAlign w:val="top"/>
          </w:tcPr>
          <w:p w14:paraId="4B28A8E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概述职业价值观、职业道德、职业礼仪、职业沟通、职场协助、情绪沟通、 时间管理等模块内容</w:t>
            </w:r>
          </w:p>
        </w:tc>
        <w:tc>
          <w:tcPr>
            <w:tcW w:w="3306" w:type="dxa"/>
            <w:shd w:val="clear" w:color="auto" w:fill="auto"/>
            <w:vAlign w:val="top"/>
          </w:tcPr>
          <w:p w14:paraId="0CDE764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本课程理论与实践并重，侧重学生未来发展中可迁移技能的培养，讲授需结合案例分析、小组讨论、师生互动、角色扮演、社会调查等方法，针对学生的生涯发展需要，关注学生创新创业意识的培养，促成学生能力模型构建，助力学生就业、创业及个人生涯发展，培养学生的职场心态和综合技能、提高就业创业竞争力，促进学生从“校园人”向“职业人”转变</w:t>
            </w:r>
          </w:p>
        </w:tc>
      </w:tr>
      <w:tr w14:paraId="4608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1E6598D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26</w:t>
            </w:r>
          </w:p>
        </w:tc>
        <w:tc>
          <w:tcPr>
            <w:tcW w:w="0" w:type="auto"/>
            <w:shd w:val="clear" w:color="auto" w:fill="auto"/>
            <w:vAlign w:val="center"/>
          </w:tcPr>
          <w:p w14:paraId="7FD48C7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健康教育</w:t>
            </w:r>
          </w:p>
        </w:tc>
        <w:tc>
          <w:tcPr>
            <w:tcW w:w="0" w:type="auto"/>
            <w:shd w:val="clear" w:color="auto" w:fill="auto"/>
            <w:vAlign w:val="top"/>
          </w:tcPr>
          <w:p w14:paraId="71954771">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1.掌握大学生常见疾病、常见传染性疾病以及急救处理等基本知识、健康的生活方式；</w:t>
            </w:r>
          </w:p>
          <w:p w14:paraId="16FCCE5D">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2.能运用健康教育知识尊重健康的价值和意义，增强维护自身健康的责任感和自觉性，提高自我保健和预防疾病的能力；</w:t>
            </w:r>
          </w:p>
          <w:p w14:paraId="6DD14189">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3.树立自觉选择健康的行为和生活方式，消除或减少危险因素的影响，从而促进身心健康改善生活质量</w:t>
            </w:r>
          </w:p>
        </w:tc>
        <w:tc>
          <w:tcPr>
            <w:tcW w:w="2402" w:type="dxa"/>
            <w:shd w:val="clear" w:color="auto" w:fill="auto"/>
            <w:vAlign w:val="top"/>
          </w:tcPr>
          <w:p w14:paraId="27AAC82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针对大学生开展健康教育，通过健康教育基本知识、基本理论的学习，使学生树立正确的健康价值观，养成健康行为和良好生活方式，消除或减轻影响健康的危险因素，预防疾病，促进健康。内容包括人体基本结构和功能；生活方式与健康；常见疾病的预防；意外伤害与急救；心理健康教育；专题健康教育</w:t>
            </w:r>
          </w:p>
        </w:tc>
        <w:tc>
          <w:tcPr>
            <w:tcW w:w="3306" w:type="dxa"/>
            <w:shd w:val="clear" w:color="auto" w:fill="auto"/>
            <w:vAlign w:val="top"/>
          </w:tcPr>
          <w:p w14:paraId="4949608A">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大学生是社会主义的建设者，是现在的主体，他们正处于大量吸取知识和技能的阶段，重点普及学生健康生活方式，提高大学生的身心素质。以生活案例为辅，教材为主相结合，提升学生的学习兴趣，增加学生的知识内容，拓宽学生视野，引导学生能够正确</w:t>
            </w:r>
            <w:r>
              <w:rPr>
                <w:rFonts w:hint="eastAsia" w:ascii="Times New Roman" w:hAnsi="Times New Roman" w:eastAsia="楷体" w:cs="Times New Roman"/>
                <w:color w:val="auto"/>
                <w:sz w:val="20"/>
                <w:szCs w:val="20"/>
                <w:lang w:eastAsia="zh-CN"/>
              </w:rPr>
              <w:t>地</w:t>
            </w:r>
            <w:r>
              <w:rPr>
                <w:rFonts w:hint="default" w:ascii="Times New Roman" w:hAnsi="Times New Roman" w:eastAsia="楷体" w:cs="Times New Roman"/>
                <w:color w:val="auto"/>
                <w:sz w:val="20"/>
                <w:szCs w:val="20"/>
              </w:rPr>
              <w:t>进行健康教育和行为管理，指导学生正确认识和理解生命安全的意义及价值。掌握预防疾病的基本知识、方法和适宜技能，维护其身心健康</w:t>
            </w:r>
          </w:p>
        </w:tc>
      </w:tr>
      <w:tr w14:paraId="64AC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0326ABAB">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27</w:t>
            </w:r>
          </w:p>
        </w:tc>
        <w:tc>
          <w:tcPr>
            <w:tcW w:w="0" w:type="auto"/>
            <w:shd w:val="clear" w:color="auto" w:fill="auto"/>
            <w:vAlign w:val="center"/>
          </w:tcPr>
          <w:p w14:paraId="27B541D0">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数智化</w:t>
            </w:r>
          </w:p>
        </w:tc>
        <w:tc>
          <w:tcPr>
            <w:tcW w:w="0" w:type="auto"/>
            <w:shd w:val="clear" w:color="auto" w:fill="auto"/>
            <w:vAlign w:val="top"/>
          </w:tcPr>
          <w:p w14:paraId="6F20AB26">
            <w:pPr>
              <w:keepNext w:val="0"/>
              <w:keepLines w:val="0"/>
              <w:pageBreakBefore w:val="0"/>
              <w:numPr>
                <w:ilvl w:val="0"/>
                <w:numId w:val="2"/>
              </w:numPr>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掌握基础数智知识、熟练常用数字工具、树立安全规范的数字理念、具备初步智能创新能力</w:t>
            </w:r>
          </w:p>
          <w:p w14:paraId="3ABB67C5">
            <w:pPr>
              <w:keepNext w:val="0"/>
              <w:keepLines w:val="0"/>
              <w:pageBreakBefore w:val="0"/>
              <w:numPr>
                <w:ilvl w:val="0"/>
                <w:numId w:val="2"/>
              </w:numPr>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全面提升学生数字时代核心竞争力，为学生适应未来学习、生活与发展奠定坚实基础。</w:t>
            </w:r>
          </w:p>
        </w:tc>
        <w:tc>
          <w:tcPr>
            <w:tcW w:w="2402" w:type="dxa"/>
            <w:shd w:val="clear" w:color="auto" w:fill="auto"/>
            <w:vAlign w:val="top"/>
          </w:tcPr>
          <w:p w14:paraId="5BA1C4F6">
            <w:pPr>
              <w:keepNext w:val="0"/>
              <w:keepLines w:val="0"/>
              <w:pageBreakBefore w:val="0"/>
              <w:kinsoku/>
              <w:wordWrap/>
              <w:topLinePunct w:val="0"/>
              <w:bidi w:val="0"/>
              <w:jc w:val="left"/>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围绕数智化基础认知、数字工具实操、数智思维创新、数字安全素养四大模块展开。基础模块普及大数据、人工智能等数智技术概念与生活应用；实操模块重点讲解办公工具、数据处理、多媒体创作及智慧学习平台的使用方法，强化实用技能。思维模块通过趣味算法、图形化编程、智能设备体验，培养学生逻辑思维与创新实践能力。素养模块聚焦网络信息辨别、个人隐私保护、网络伦理规范，引导学生文明、安全、合规使用数字技术，全方位提升学生数字综合素养。</w:t>
            </w:r>
          </w:p>
        </w:tc>
        <w:tc>
          <w:tcPr>
            <w:tcW w:w="3306" w:type="dxa"/>
            <w:shd w:val="clear" w:color="auto" w:fill="auto"/>
            <w:vAlign w:val="top"/>
          </w:tcPr>
          <w:p w14:paraId="76E5D402">
            <w:pPr>
              <w:keepNext w:val="0"/>
              <w:keepLines w:val="0"/>
              <w:pageBreakBefore w:val="0"/>
              <w:kinsoku/>
              <w:wordWrap/>
              <w:topLinePunct w:val="0"/>
              <w:bidi w:val="0"/>
              <w:jc w:val="left"/>
              <w:rPr>
                <w:rFonts w:hint="default" w:ascii="Times New Roman" w:hAnsi="Times New Roman" w:eastAsia="楷体" w:cs="Times New Roman"/>
                <w:color w:val="auto"/>
                <w:sz w:val="20"/>
                <w:szCs w:val="20"/>
                <w:lang w:eastAsia="zh-CN"/>
              </w:rPr>
            </w:pPr>
            <w:r>
              <w:rPr>
                <w:rFonts w:hint="default" w:ascii="Times New Roman" w:hAnsi="Times New Roman" w:eastAsia="楷体" w:cs="Times New Roman"/>
                <w:color w:val="auto"/>
                <w:sz w:val="20"/>
                <w:szCs w:val="20"/>
              </w:rPr>
              <w:t>贴合学生学情，采用案例教学、实操演练、项目实践等多元模式教学，保障课堂实操时长，针对性指导学生解决操作问题，同步渗透数字素养教育。学生需认真参与课堂学习与实操训练，按时完成创意及实践作业，严守机房设备与网络使用规范。教学落实因材施教，实施分层辅导，摒弃单一应试考核，结合课堂表现、实操成果、创新作品、综合素质开展多元化综合评价，切实落实课程育人目标</w:t>
            </w:r>
            <w:r>
              <w:rPr>
                <w:rFonts w:hint="default" w:ascii="Times New Roman" w:hAnsi="Times New Roman" w:eastAsia="楷体" w:cs="Times New Roman"/>
                <w:color w:val="auto"/>
                <w:sz w:val="20"/>
                <w:szCs w:val="20"/>
                <w:lang w:eastAsia="zh-CN"/>
              </w:rPr>
              <w:t>。</w:t>
            </w:r>
          </w:p>
        </w:tc>
      </w:tr>
    </w:tbl>
    <w:p w14:paraId="2BB095C8">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rPr>
      </w:pPr>
      <w:bookmarkStart w:id="13" w:name="_Toc12942"/>
      <w:r>
        <w:rPr>
          <w:rFonts w:hint="default" w:ascii="Times New Roman" w:hAnsi="Times New Roman" w:cs="Times New Roman"/>
          <w:b/>
          <w:bCs/>
          <w:color w:val="auto"/>
          <w:spacing w:val="4"/>
        </w:rPr>
        <w:t>（二）专业课程</w:t>
      </w:r>
      <w:bookmarkEnd w:id="13"/>
    </w:p>
    <w:p w14:paraId="72716687">
      <w:pPr>
        <w:pStyle w:val="5"/>
        <w:keepNext w:val="0"/>
        <w:keepLines w:val="0"/>
        <w:pageBreakBefore w:val="0"/>
        <w:kinsoku/>
        <w:wordWrap/>
        <w:topLinePunct w:val="0"/>
        <w:bidi w:val="0"/>
        <w:spacing w:before="178" w:line="227" w:lineRule="auto"/>
        <w:ind w:firstLine="610" w:firstLineChars="200"/>
        <w:rPr>
          <w:rFonts w:hint="default" w:ascii="Times New Roman" w:hAnsi="Times New Roman" w:cs="Times New Roman"/>
          <w:b/>
          <w:bCs/>
          <w:color w:val="auto"/>
          <w:spacing w:val="-3"/>
        </w:rPr>
      </w:pPr>
      <w:r>
        <w:rPr>
          <w:rFonts w:hint="default" w:ascii="Times New Roman" w:hAnsi="Times New Roman" w:cs="Times New Roman"/>
          <w:b/>
          <w:bCs/>
          <w:color w:val="auto"/>
          <w:spacing w:val="-3"/>
        </w:rPr>
        <w:t>1.</w:t>
      </w:r>
      <w:r>
        <w:rPr>
          <w:rFonts w:hint="default" w:ascii="Times New Roman" w:hAnsi="Times New Roman" w:cs="Times New Roman"/>
          <w:color w:val="auto"/>
          <w:spacing w:val="32"/>
        </w:rPr>
        <w:t xml:space="preserve"> </w:t>
      </w:r>
      <w:r>
        <w:rPr>
          <w:rFonts w:hint="default" w:ascii="Times New Roman" w:hAnsi="Times New Roman" w:cs="Times New Roman"/>
          <w:b/>
          <w:bCs/>
          <w:color w:val="auto"/>
          <w:spacing w:val="-3"/>
        </w:rPr>
        <w:t>专业基础课</w:t>
      </w:r>
    </w:p>
    <w:p w14:paraId="201F6A0A">
      <w:pPr>
        <w:keepNext w:val="0"/>
        <w:keepLines w:val="0"/>
        <w:pageBreakBefore w:val="0"/>
        <w:kinsoku/>
        <w:wordWrap/>
        <w:topLinePunct w:val="0"/>
        <w:bidi w:val="0"/>
        <w:spacing w:line="38" w:lineRule="auto"/>
        <w:rPr>
          <w:rFonts w:hint="default" w:ascii="Times New Roman" w:hAnsi="Times New Roman" w:cs="Times New Roman"/>
          <w:color w:val="auto"/>
          <w:sz w:val="2"/>
        </w:rPr>
      </w:pPr>
    </w:p>
    <w:p w14:paraId="146E4D9F">
      <w:pPr>
        <w:keepNext w:val="0"/>
        <w:keepLines w:val="0"/>
        <w:pageBreakBefore w:val="0"/>
        <w:kinsoku/>
        <w:wordWrap/>
        <w:topLinePunct w:val="0"/>
        <w:bidi w:val="0"/>
        <w:spacing w:line="38" w:lineRule="auto"/>
        <w:rPr>
          <w:rFonts w:hint="default" w:ascii="Times New Roman" w:hAnsi="Times New Roman" w:cs="Times New Roman"/>
          <w:color w:val="auto"/>
          <w:sz w:val="2"/>
        </w:rPr>
      </w:pPr>
    </w:p>
    <w:tbl>
      <w:tblPr>
        <w:tblStyle w:val="11"/>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65"/>
        <w:gridCol w:w="2354"/>
        <w:gridCol w:w="2400"/>
        <w:gridCol w:w="3281"/>
      </w:tblGrid>
      <w:tr w14:paraId="63D71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22" w:type="dxa"/>
            <w:vAlign w:val="center"/>
          </w:tcPr>
          <w:p w14:paraId="1D043EDE">
            <w:pPr>
              <w:keepNext w:val="0"/>
              <w:keepLines w:val="0"/>
              <w:pageBreakBefore w:val="0"/>
              <w:kinsoku/>
              <w:wordWrap/>
              <w:topLinePunct w:val="0"/>
              <w:bidi w:val="0"/>
              <w:jc w:val="center"/>
              <w:rPr>
                <w:rFonts w:hint="default" w:ascii="Times New Roman" w:hAnsi="Times New Roman" w:eastAsia="楷体" w:cs="Times New Roman"/>
                <w:b/>
                <w:bCs/>
                <w:color w:val="auto"/>
                <w:sz w:val="20"/>
                <w:szCs w:val="20"/>
                <w:lang w:val="en-US" w:eastAsia="zh-CN"/>
              </w:rPr>
            </w:pPr>
            <w:r>
              <w:rPr>
                <w:rFonts w:hint="default" w:ascii="Times New Roman" w:hAnsi="Times New Roman" w:eastAsia="楷体" w:cs="Times New Roman"/>
                <w:b/>
                <w:bCs/>
                <w:color w:val="auto"/>
                <w:sz w:val="20"/>
                <w:szCs w:val="20"/>
                <w:lang w:val="en-US" w:eastAsia="zh-CN"/>
              </w:rPr>
              <w:t>序号</w:t>
            </w:r>
          </w:p>
        </w:tc>
        <w:tc>
          <w:tcPr>
            <w:tcW w:w="1065" w:type="dxa"/>
            <w:vAlign w:val="center"/>
          </w:tcPr>
          <w:p w14:paraId="67F47C37">
            <w:pPr>
              <w:keepNext w:val="0"/>
              <w:keepLines w:val="0"/>
              <w:pageBreakBefore w:val="0"/>
              <w:kinsoku/>
              <w:wordWrap/>
              <w:topLinePunct w:val="0"/>
              <w:bidi w:val="0"/>
              <w:jc w:val="center"/>
              <w:rPr>
                <w:rFonts w:hint="default" w:ascii="Times New Roman" w:hAnsi="Times New Roman" w:eastAsia="楷体" w:cs="Times New Roman"/>
                <w:b/>
                <w:bCs/>
                <w:color w:val="auto"/>
                <w:sz w:val="20"/>
                <w:szCs w:val="20"/>
                <w:lang w:val="en-US" w:eastAsia="zh-CN"/>
              </w:rPr>
            </w:pPr>
            <w:r>
              <w:rPr>
                <w:rFonts w:hint="default" w:ascii="Times New Roman" w:hAnsi="Times New Roman" w:eastAsia="楷体" w:cs="Times New Roman"/>
                <w:b/>
                <w:bCs/>
                <w:color w:val="auto"/>
                <w:sz w:val="20"/>
                <w:szCs w:val="20"/>
                <w:lang w:val="en-US" w:eastAsia="zh-CN"/>
              </w:rPr>
              <w:t>课程名称</w:t>
            </w:r>
          </w:p>
        </w:tc>
        <w:tc>
          <w:tcPr>
            <w:tcW w:w="2354" w:type="dxa"/>
            <w:vAlign w:val="center"/>
          </w:tcPr>
          <w:p w14:paraId="2CF797A5">
            <w:pPr>
              <w:keepNext w:val="0"/>
              <w:keepLines w:val="0"/>
              <w:pageBreakBefore w:val="0"/>
              <w:kinsoku/>
              <w:wordWrap/>
              <w:topLinePunct w:val="0"/>
              <w:bidi w:val="0"/>
              <w:jc w:val="center"/>
              <w:rPr>
                <w:rFonts w:hint="default" w:ascii="Times New Roman" w:hAnsi="Times New Roman" w:eastAsia="楷体" w:cs="Times New Roman"/>
                <w:b/>
                <w:bCs/>
                <w:color w:val="auto"/>
                <w:sz w:val="20"/>
                <w:szCs w:val="20"/>
                <w:lang w:val="en-US" w:eastAsia="zh-CN"/>
              </w:rPr>
            </w:pPr>
            <w:r>
              <w:rPr>
                <w:rFonts w:hint="default" w:ascii="Times New Roman" w:hAnsi="Times New Roman" w:eastAsia="楷体" w:cs="Times New Roman"/>
                <w:b/>
                <w:bCs/>
                <w:color w:val="auto"/>
                <w:sz w:val="20"/>
                <w:szCs w:val="20"/>
                <w:lang w:val="en-US" w:eastAsia="zh-CN"/>
              </w:rPr>
              <w:t>课程目标</w:t>
            </w:r>
          </w:p>
        </w:tc>
        <w:tc>
          <w:tcPr>
            <w:tcW w:w="2400" w:type="dxa"/>
            <w:vAlign w:val="center"/>
          </w:tcPr>
          <w:p w14:paraId="262F99E3">
            <w:pPr>
              <w:keepNext w:val="0"/>
              <w:keepLines w:val="0"/>
              <w:pageBreakBefore w:val="0"/>
              <w:kinsoku/>
              <w:wordWrap/>
              <w:topLinePunct w:val="0"/>
              <w:bidi w:val="0"/>
              <w:jc w:val="center"/>
              <w:rPr>
                <w:rFonts w:hint="default" w:ascii="Times New Roman" w:hAnsi="Times New Roman" w:eastAsia="楷体" w:cs="Times New Roman"/>
                <w:b/>
                <w:bCs/>
                <w:color w:val="auto"/>
                <w:sz w:val="20"/>
                <w:szCs w:val="20"/>
                <w:lang w:val="en-US" w:eastAsia="zh-CN"/>
              </w:rPr>
            </w:pPr>
            <w:r>
              <w:rPr>
                <w:rFonts w:hint="default" w:ascii="Times New Roman" w:hAnsi="Times New Roman" w:eastAsia="楷体" w:cs="Times New Roman"/>
                <w:b/>
                <w:bCs/>
                <w:color w:val="auto"/>
                <w:sz w:val="20"/>
                <w:szCs w:val="20"/>
                <w:lang w:val="en-US" w:eastAsia="zh-CN"/>
              </w:rPr>
              <w:t>教学内容</w:t>
            </w:r>
          </w:p>
        </w:tc>
        <w:tc>
          <w:tcPr>
            <w:tcW w:w="3281" w:type="dxa"/>
            <w:vAlign w:val="center"/>
          </w:tcPr>
          <w:p w14:paraId="0071C0C6">
            <w:pPr>
              <w:keepNext w:val="0"/>
              <w:keepLines w:val="0"/>
              <w:pageBreakBefore w:val="0"/>
              <w:kinsoku/>
              <w:wordWrap/>
              <w:topLinePunct w:val="0"/>
              <w:bidi w:val="0"/>
              <w:jc w:val="center"/>
              <w:rPr>
                <w:rFonts w:hint="default" w:ascii="Times New Roman" w:hAnsi="Times New Roman" w:eastAsia="楷体" w:cs="Times New Roman"/>
                <w:b/>
                <w:bCs/>
                <w:color w:val="auto"/>
                <w:sz w:val="20"/>
                <w:szCs w:val="20"/>
                <w:lang w:val="en-US" w:eastAsia="zh-CN"/>
              </w:rPr>
            </w:pPr>
            <w:r>
              <w:rPr>
                <w:rFonts w:hint="default" w:ascii="Times New Roman" w:hAnsi="Times New Roman" w:eastAsia="楷体" w:cs="Times New Roman"/>
                <w:b/>
                <w:bCs/>
                <w:color w:val="auto"/>
                <w:sz w:val="20"/>
                <w:szCs w:val="20"/>
                <w:lang w:val="en-US" w:eastAsia="zh-CN"/>
              </w:rPr>
              <w:t>教学要求</w:t>
            </w:r>
          </w:p>
        </w:tc>
      </w:tr>
      <w:tr w14:paraId="0D637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39749692">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w:t>
            </w:r>
          </w:p>
        </w:tc>
        <w:tc>
          <w:tcPr>
            <w:tcW w:w="1065" w:type="dxa"/>
            <w:vAlign w:val="center"/>
          </w:tcPr>
          <w:p w14:paraId="041D6506">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人体解剖学与组织胚</w:t>
            </w:r>
          </w:p>
          <w:p w14:paraId="6F337DDF">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胎学</w:t>
            </w:r>
          </w:p>
        </w:tc>
        <w:tc>
          <w:tcPr>
            <w:tcW w:w="2354" w:type="dxa"/>
            <w:vAlign w:val="top"/>
          </w:tcPr>
          <w:p w14:paraId="3199310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掌握正常人体的组成，各器官、组织的形态特征、位置毗邻，熟悉人体胚胎发育概况；能运用解剖学术语描述主要器官位置、形态结构，能识别主要体表标志；培养关爱生命、珍惜生命的意识</w:t>
            </w:r>
          </w:p>
        </w:tc>
        <w:tc>
          <w:tcPr>
            <w:tcW w:w="2400" w:type="dxa"/>
            <w:vAlign w:val="top"/>
          </w:tcPr>
          <w:p w14:paraId="287F227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绪论；基本组织；运动系统、消化系统、呼吸系统、泌尿系统、生殖系统、脉管系统、感觉器、神经系统、内分泌系统的组成、各器官的大体结构、微细结构和位置毗邻；人体胚胎发育概要。</w:t>
            </w:r>
          </w:p>
        </w:tc>
        <w:tc>
          <w:tcPr>
            <w:tcW w:w="3281" w:type="dxa"/>
            <w:vAlign w:val="top"/>
          </w:tcPr>
          <w:p w14:paraId="65EC44E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理论教学以多媒体讲授为主、运用视频、动画、图片演示等多种教学手段；实践教学在校内形态学实验室和虚拟现实中心完成为主，采用模型展示、虚拟仿真解剖和真实标本观察等方法</w:t>
            </w:r>
          </w:p>
        </w:tc>
      </w:tr>
      <w:tr w14:paraId="6B0AF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68CB4899">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w:t>
            </w:r>
          </w:p>
        </w:tc>
        <w:tc>
          <w:tcPr>
            <w:tcW w:w="1065" w:type="dxa"/>
            <w:vAlign w:val="center"/>
          </w:tcPr>
          <w:p w14:paraId="4D0130E6">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生理学</w:t>
            </w:r>
          </w:p>
        </w:tc>
        <w:tc>
          <w:tcPr>
            <w:tcW w:w="2354" w:type="dxa"/>
            <w:vAlign w:val="top"/>
          </w:tcPr>
          <w:p w14:paraId="79210A3B">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 xml:space="preserve">通过对《生理学》的理论学习和实验操作，掌握生理学的基本概念、组织细胞、各系统器官的功能活动的发生条件和机制、基本过程、影响因素及人体功能的调节。能正确理解人体的各种生理功能，机体维持内外环境的调节机制以及稳态的意义，解释正常生命活动与疾病发生发展过程和临床之间的联系。培养关注生命、珍爱生命的意识，培养积极健康的生活态度 </w:t>
            </w:r>
          </w:p>
        </w:tc>
        <w:tc>
          <w:tcPr>
            <w:tcW w:w="2400" w:type="dxa"/>
            <w:vAlign w:val="top"/>
          </w:tcPr>
          <w:p w14:paraId="59AE838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生理学概述；生命的基本特征，机体与环境，人体功能活动的调节；细胞的基本功能及生物电现象；肌肉收缩；血液、血液循环、呼吸、消化与吸收、能量代谢与体温、肾脏的排泄、神经生理、感官生理、内分泌和生殖生理</w:t>
            </w:r>
          </w:p>
        </w:tc>
        <w:tc>
          <w:tcPr>
            <w:tcW w:w="3281" w:type="dxa"/>
            <w:vAlign w:val="top"/>
          </w:tcPr>
          <w:p w14:paraId="545BC1F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通过学习理论知识和实验技能，使学生能够以正常人体生命活动过程为主线，掌握生理学的基本概念、人体功能活动发生的基本过程、机制及影响因素，学会从不同研究水平理解人体的各种生理功能，理解内、外环境变化对人体功能活动的影响及功能活动的调节，进而逐步理解生命活动与疾病发生、发展及治疗的内在联系。在教学过程中注重培养学生热爱专业、以救死扶伤为己任，关爱生命，关注健康的意识</w:t>
            </w:r>
          </w:p>
        </w:tc>
      </w:tr>
      <w:tr w14:paraId="0DFD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729184AB">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w:t>
            </w:r>
          </w:p>
        </w:tc>
        <w:tc>
          <w:tcPr>
            <w:tcW w:w="1065" w:type="dxa"/>
            <w:vAlign w:val="center"/>
          </w:tcPr>
          <w:p w14:paraId="43C7D91D">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生物化学</w:t>
            </w:r>
          </w:p>
        </w:tc>
        <w:tc>
          <w:tcPr>
            <w:tcW w:w="2354" w:type="dxa"/>
            <w:vAlign w:val="top"/>
          </w:tcPr>
          <w:p w14:paraId="1DE38E52">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1.掌握免疫学的基本概念和基本理论，临床常见病原生物的种类和主要生物学性状，熟悉临床常见的免疫现象、免疫相关疾病的发病机制，常见病原生物的致病性、传播途径和防治原则。</w:t>
            </w:r>
          </w:p>
          <w:p w14:paraId="40D53F69">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2.牢固树立无菌观念，</w:t>
            </w:r>
            <w:r>
              <w:rPr>
                <w:rFonts w:hint="eastAsia" w:ascii="Times New Roman" w:hAnsi="Times New Roman" w:eastAsia="楷体" w:cs="Times New Roman"/>
                <w:color w:val="auto"/>
                <w:sz w:val="20"/>
                <w:szCs w:val="20"/>
                <w:lang w:val="en-US" w:eastAsia="zh-CN"/>
              </w:rPr>
              <w:t>增强</w:t>
            </w:r>
            <w:r>
              <w:rPr>
                <w:rFonts w:hint="default" w:ascii="Times New Roman" w:hAnsi="Times New Roman" w:eastAsia="楷体" w:cs="Times New Roman"/>
                <w:color w:val="auto"/>
                <w:sz w:val="20"/>
                <w:szCs w:val="20"/>
                <w:lang w:val="en-US" w:eastAsia="zh-CN"/>
              </w:rPr>
              <w:t>生物安全意识，能够初步辨认常见病原生物的形态特征，将所学病原生物与免疫学知识应用于疾病的诊断、预防和治疗中</w:t>
            </w:r>
          </w:p>
          <w:p w14:paraId="0EEA553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3.培养学生具有严谨求实的工作态度，良好的职业道德和不畏艰苦的学习意志，为学习临床相关免疫性疾病和感染性疾病奠定基础</w:t>
            </w:r>
          </w:p>
        </w:tc>
        <w:tc>
          <w:tcPr>
            <w:tcW w:w="2400" w:type="dxa"/>
            <w:vAlign w:val="top"/>
          </w:tcPr>
          <w:p w14:paraId="5F2D1DE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免疫系统的组成与功能，免疫应答发生与发展的规律，免疫相关疾病的发病机制，免疫学理论在疾病诊断及防治中的应用；常见病原微生物和医学寄生虫的生物学特性、致病性与免疫性，以及相关感染性疾病的病原学检测方法及防治原则。</w:t>
            </w:r>
          </w:p>
        </w:tc>
        <w:tc>
          <w:tcPr>
            <w:tcW w:w="3281" w:type="dxa"/>
            <w:vAlign w:val="top"/>
          </w:tcPr>
          <w:p w14:paraId="4193CF2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采用多种教学方法综合利用，理实一体、知识层面递进式培养，突出病原生物与免疫相关的知识特点，减少知识的抽象性，多采用图片、多媒体等直观教学的形式，增加学生的感性认识，提高课堂教学效果；采用理论授课和社区实践相结合的方法，把传授知识和培养实践能力结合起来，充分发挥学生学习的主动性和创造性，培养学生分析问题和解决问题的能力</w:t>
            </w:r>
          </w:p>
        </w:tc>
      </w:tr>
      <w:tr w14:paraId="36E9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7529EACB">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4</w:t>
            </w:r>
          </w:p>
        </w:tc>
        <w:tc>
          <w:tcPr>
            <w:tcW w:w="1065" w:type="dxa"/>
            <w:vAlign w:val="center"/>
          </w:tcPr>
          <w:p w14:paraId="1EEE0019">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病原生物与</w:t>
            </w:r>
          </w:p>
          <w:p w14:paraId="7EB073DA">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免疫学</w:t>
            </w:r>
          </w:p>
        </w:tc>
        <w:tc>
          <w:tcPr>
            <w:tcW w:w="2354" w:type="dxa"/>
            <w:vAlign w:val="top"/>
          </w:tcPr>
          <w:p w14:paraId="36D16AFE">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1.掌握生物大分子的组成、结构与功能，物质代谢的基本规律，基因信息的传递、表达；熟悉维生素的生物化学功能，体液中各种电解质的动态代谢过程及酸碱平衡，基因表达调控及常用分子生物学技术。</w:t>
            </w:r>
          </w:p>
          <w:p w14:paraId="3898DDC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2.掌握与临床相关常用生物化学实验基本原理、方法和技能，学会正确、科学</w:t>
            </w:r>
            <w:r>
              <w:rPr>
                <w:rFonts w:hint="eastAsia" w:ascii="Times New Roman" w:hAnsi="Times New Roman" w:eastAsia="楷体" w:cs="Times New Roman"/>
                <w:color w:val="auto"/>
                <w:sz w:val="20"/>
                <w:szCs w:val="20"/>
                <w:lang w:val="en-US" w:eastAsia="zh-CN"/>
              </w:rPr>
              <w:t>地</w:t>
            </w:r>
            <w:r>
              <w:rPr>
                <w:rFonts w:hint="default" w:ascii="Times New Roman" w:hAnsi="Times New Roman" w:eastAsia="楷体" w:cs="Times New Roman"/>
                <w:color w:val="auto"/>
                <w:sz w:val="20"/>
                <w:szCs w:val="20"/>
                <w:lang w:val="en-US" w:eastAsia="zh-CN"/>
              </w:rPr>
              <w:t>观察实验现象、记录实验结果、分析实验数据，具有辩证思维能力和分析与解决问题的能力。</w:t>
            </w:r>
          </w:p>
          <w:p w14:paraId="3798285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3.培养学生良好的职业道德，具备实事求是的科学的态度、理论联系实际的学风和严谨的工作作风，为学习专业知识奠定基础</w:t>
            </w:r>
          </w:p>
        </w:tc>
        <w:tc>
          <w:tcPr>
            <w:tcW w:w="2400" w:type="dxa"/>
            <w:vAlign w:val="top"/>
          </w:tcPr>
          <w:p w14:paraId="6B9B6EAA">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蛋白质、核酸等生物大分子的结构与功能；糖、脂类、蛋白质等物质的代谢及能量代谢；遗传信息的传递与表达及常用分子生物学技术；临床常见疾病分子水平的病因及治疗认知等</w:t>
            </w:r>
          </w:p>
        </w:tc>
        <w:tc>
          <w:tcPr>
            <w:tcW w:w="3281" w:type="dxa"/>
            <w:vAlign w:val="top"/>
          </w:tcPr>
          <w:p w14:paraId="60BA613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采用课堂教学、实验教学、网络协作教学三位一体的教学模式，理论与实践并重；理论教学坚持基础优先，采用多媒体教学，采用图片、视频等手段展示生物化学的微观世界，通过案例式、实证式和启发式等教学范式来激发学生的学习兴趣，培养学生独立思考能力；结合实验课，让学生亲手操作，加深对理论知识的理解，培养学生的问题求解与科学思维能力</w:t>
            </w:r>
          </w:p>
        </w:tc>
      </w:tr>
      <w:tr w14:paraId="4788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613C0C83">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5</w:t>
            </w:r>
          </w:p>
        </w:tc>
        <w:tc>
          <w:tcPr>
            <w:tcW w:w="1065" w:type="dxa"/>
            <w:vAlign w:val="center"/>
          </w:tcPr>
          <w:p w14:paraId="4FCBFD79">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病理学与</w:t>
            </w:r>
          </w:p>
          <w:p w14:paraId="73C5BC77">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病理生理学</w:t>
            </w:r>
          </w:p>
        </w:tc>
        <w:tc>
          <w:tcPr>
            <w:tcW w:w="2354" w:type="dxa"/>
            <w:vAlign w:val="top"/>
          </w:tcPr>
          <w:p w14:paraId="57475CB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掌握基本病理过程、掌握各系统常见疾病的病理变化及病理临床，熟悉疾病的病因，了解发病机制；能应用病理学知识分析和解释常见疾病的发生发展过程和临床表现；培养关注健康、预防疾病的意识</w:t>
            </w:r>
          </w:p>
        </w:tc>
        <w:tc>
          <w:tcPr>
            <w:tcW w:w="2400" w:type="dxa"/>
            <w:vAlign w:val="top"/>
          </w:tcPr>
          <w:p w14:paraId="0354FD5F">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绪论；组织细胞的适应、损伤与修复，局部血液循环障碍，炎症，肿瘤，心血管系统、呼吸系统、消化系统、泌尿系统、女性生殖系统常见疾病，常见传染病，水电解质平衡紊乱，酸碱平衡紊乱，发热，缺氧，休克，DIC，重要器官功能衰竭。</w:t>
            </w:r>
          </w:p>
        </w:tc>
        <w:tc>
          <w:tcPr>
            <w:tcW w:w="3281" w:type="dxa"/>
            <w:vAlign w:val="top"/>
          </w:tcPr>
          <w:p w14:paraId="41834F6A">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理论教学以多媒体讲授为主，运用视频、动画、图片演示等多种教学手段；实践教学在校内形态学实验室完成为主，采用大体标本观察和镜下观察等方法；在理论和实践教学过程中穿插安排示教、自学、讨论及案例分析等</w:t>
            </w:r>
          </w:p>
        </w:tc>
      </w:tr>
      <w:tr w14:paraId="36A1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2A823D81">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6</w:t>
            </w:r>
          </w:p>
        </w:tc>
        <w:tc>
          <w:tcPr>
            <w:tcW w:w="1065" w:type="dxa"/>
            <w:vAlign w:val="center"/>
          </w:tcPr>
          <w:p w14:paraId="352AB5BD">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临床医学</w:t>
            </w:r>
          </w:p>
          <w:p w14:paraId="56BC286A">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概论</w:t>
            </w:r>
          </w:p>
        </w:tc>
        <w:tc>
          <w:tcPr>
            <w:tcW w:w="2354" w:type="dxa"/>
            <w:vAlign w:val="center"/>
          </w:tcPr>
          <w:p w14:paraId="5623E598">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通过本课程的学习，要求学生掌握和熟悉临床常见病、多发病的病因、发病机制、病理解剖、临床表现、并发症、诊断和鉴别诊断、</w:t>
            </w:r>
            <w:r>
              <w:rPr>
                <w:rFonts w:hint="eastAsia" w:ascii="Times New Roman" w:hAnsi="Times New Roman" w:eastAsia="楷体" w:cs="Times New Roman"/>
                <w:color w:val="auto"/>
                <w:sz w:val="20"/>
                <w:szCs w:val="20"/>
                <w:lang w:val="en-US" w:eastAsia="zh-CN"/>
              </w:rPr>
              <w:t>治疗</w:t>
            </w:r>
            <w:r>
              <w:rPr>
                <w:rFonts w:hint="default" w:ascii="Times New Roman" w:hAnsi="Times New Roman" w:eastAsia="楷体" w:cs="Times New Roman"/>
                <w:color w:val="auto"/>
                <w:sz w:val="20"/>
                <w:szCs w:val="20"/>
                <w:lang w:val="en-US" w:eastAsia="zh-CN"/>
              </w:rPr>
              <w:t>、预后和预防，使能获得全面、系统的内外科学基础知识。通过教学能做到病历书写合乎要求，同时学会有目的采用现代实验室检查和诊断技术，结合内科学基本理论和基本知识，运用分析综合与逻辑推理的临床思想方法，做出全面诊断</w:t>
            </w:r>
            <w:r>
              <w:rPr>
                <w:rFonts w:hint="eastAsia" w:ascii="Times New Roman" w:hAnsi="Times New Roman" w:eastAsia="楷体" w:cs="Times New Roman"/>
                <w:color w:val="auto"/>
                <w:sz w:val="20"/>
                <w:szCs w:val="20"/>
                <w:lang w:val="en-US" w:eastAsia="zh-CN"/>
              </w:rPr>
              <w:t>；</w:t>
            </w:r>
            <w:r>
              <w:rPr>
                <w:rFonts w:hint="default" w:ascii="Times New Roman" w:hAnsi="Times New Roman" w:eastAsia="楷体" w:cs="Times New Roman"/>
                <w:color w:val="auto"/>
                <w:sz w:val="20"/>
                <w:szCs w:val="20"/>
                <w:lang w:val="en-US" w:eastAsia="zh-CN"/>
              </w:rPr>
              <w:t>通过临床实践提高对临床常见病、多发病的诊断和防治能力，要求做到理论联系实际，从临床实践来检验认识的正确性</w:t>
            </w:r>
          </w:p>
        </w:tc>
        <w:tc>
          <w:tcPr>
            <w:tcW w:w="2400" w:type="dxa"/>
            <w:vAlign w:val="center"/>
          </w:tcPr>
          <w:p w14:paraId="21E9C2C5">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涵盖诊断学基础、内科学、外科学、妇产科学、儿科学等主要临床医学的主要学科常见病、多发病的基础上，并将精神病学、心理卫生、计划生育等内容作为教学内容，适当介绍了近年来临床医学领域中的一些新进展，旨在使读者拓展知识面，完整正确地理解“健康、疾病”的概念，熟悉各种常见病临床表现特点和疾病发展规律。</w:t>
            </w:r>
          </w:p>
        </w:tc>
        <w:tc>
          <w:tcPr>
            <w:tcW w:w="3281" w:type="dxa"/>
            <w:vAlign w:val="center"/>
          </w:tcPr>
          <w:p w14:paraId="485B2027">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本着“贴近学情、符合行情、对接岗位”的原则，坚持“</w:t>
            </w:r>
            <w:r>
              <w:rPr>
                <w:rFonts w:hint="eastAsia" w:ascii="Times New Roman" w:hAnsi="Times New Roman" w:eastAsia="楷体" w:cs="Times New Roman"/>
                <w:color w:val="auto"/>
                <w:sz w:val="20"/>
                <w:szCs w:val="20"/>
                <w:lang w:val="en-US" w:eastAsia="zh-CN"/>
              </w:rPr>
              <w:t>必需</w:t>
            </w:r>
            <w:r>
              <w:rPr>
                <w:rFonts w:hint="default" w:ascii="Times New Roman" w:hAnsi="Times New Roman" w:eastAsia="楷体" w:cs="Times New Roman"/>
                <w:color w:val="auto"/>
                <w:sz w:val="20"/>
                <w:szCs w:val="20"/>
                <w:lang w:val="en-US" w:eastAsia="zh-CN"/>
              </w:rPr>
              <w:t>、够用、实用”为度、适度拓展知识面提升可持续发展能力的原则，在校企合作的基础上，科学设计课程，合理选取教学内容。重点掌握心血管疾病、脑血管疾病、呼吸系统疾病、消化系统疾病、内分泌系统疾病、神经系统、运动系统常见疾病的主要症状、体征和诊断方法，构建诊断思维模式，为后续专业课程学习奠定基础。充分利用智慧职教平台及其</w:t>
            </w:r>
            <w:r>
              <w:rPr>
                <w:rFonts w:hint="eastAsia" w:ascii="Times New Roman" w:hAnsi="Times New Roman" w:eastAsia="楷体" w:cs="Times New Roman"/>
                <w:color w:val="auto"/>
                <w:sz w:val="20"/>
                <w:szCs w:val="20"/>
                <w:lang w:val="en-US" w:eastAsia="zh-CN"/>
              </w:rPr>
              <w:t>他</w:t>
            </w:r>
            <w:r>
              <w:rPr>
                <w:rFonts w:hint="default" w:ascii="Times New Roman" w:hAnsi="Times New Roman" w:eastAsia="楷体" w:cs="Times New Roman"/>
                <w:color w:val="auto"/>
                <w:sz w:val="20"/>
                <w:szCs w:val="20"/>
                <w:lang w:val="en-US" w:eastAsia="zh-CN"/>
              </w:rPr>
              <w:t>网络优质教学资源，采用线上线下混合式教学模式，着力培养学生的临床思维能力、应用能力和学习能力。线上课堂在课前引导学生预习知识，课中发起讨论和头脑风暴，课后巩固和拓展知识</w:t>
            </w:r>
            <w:r>
              <w:rPr>
                <w:rFonts w:hint="eastAsia" w:ascii="Times New Roman" w:hAnsi="Times New Roman" w:eastAsia="楷体" w:cs="Times New Roman"/>
                <w:color w:val="auto"/>
                <w:sz w:val="20"/>
                <w:szCs w:val="20"/>
                <w:lang w:val="en-US" w:eastAsia="zh-CN"/>
              </w:rPr>
              <w:t>；</w:t>
            </w:r>
            <w:r>
              <w:rPr>
                <w:rFonts w:hint="default" w:ascii="Times New Roman" w:hAnsi="Times New Roman" w:eastAsia="楷体" w:cs="Times New Roman"/>
                <w:color w:val="auto"/>
                <w:sz w:val="20"/>
                <w:szCs w:val="20"/>
                <w:lang w:val="en-US" w:eastAsia="zh-CN"/>
              </w:rPr>
              <w:t>实践课堂重在引导学生内化知识和技能训练。配备专门的教学团队，主要采用案例教学法、情景教学法、问题启发式等多种教学方法和手段，提高学生对疾病基本知识的掌握</w:t>
            </w:r>
          </w:p>
        </w:tc>
      </w:tr>
      <w:tr w14:paraId="1455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48EB3108">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zh-CN"/>
              </w:rPr>
            </w:pPr>
            <w:r>
              <w:rPr>
                <w:rFonts w:hint="default" w:ascii="Times New Roman" w:hAnsi="Times New Roman" w:eastAsia="楷体" w:cs="Times New Roman"/>
                <w:color w:val="auto"/>
                <w:sz w:val="20"/>
                <w:szCs w:val="20"/>
                <w:lang w:val="en-US" w:eastAsia="zh-CN"/>
              </w:rPr>
              <w:t>7</w:t>
            </w:r>
          </w:p>
        </w:tc>
        <w:tc>
          <w:tcPr>
            <w:tcW w:w="1065" w:type="dxa"/>
            <w:shd w:val="clear" w:color="auto" w:fill="auto"/>
            <w:vAlign w:val="center"/>
          </w:tcPr>
          <w:p w14:paraId="01646101">
            <w:pPr>
              <w:keepNext w:val="0"/>
              <w:keepLines w:val="0"/>
              <w:pageBreakBefore w:val="0"/>
              <w:kinsoku/>
              <w:wordWrap/>
              <w:topLinePunct w:val="0"/>
              <w:bidi w:val="0"/>
              <w:jc w:val="center"/>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药理学</w:t>
            </w:r>
          </w:p>
        </w:tc>
        <w:tc>
          <w:tcPr>
            <w:tcW w:w="2354" w:type="dxa"/>
            <w:shd w:val="clear" w:color="auto" w:fill="auto"/>
            <w:vAlign w:val="top"/>
          </w:tcPr>
          <w:p w14:paraId="45A9D346">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理解药理学常用术语的含义，掌握临床常用药物的药理作用、临床应用、不良反应及用药注意事项；会观察药物疗效及不良反应，能指导患者正确用药；培养良好的医疗安全意识和合理用药观念，养成严谨求实的职业素养和为人民健康负责的工作态度</w:t>
            </w:r>
          </w:p>
        </w:tc>
        <w:tc>
          <w:tcPr>
            <w:tcW w:w="2400" w:type="dxa"/>
            <w:shd w:val="clear" w:color="auto" w:fill="auto"/>
            <w:vAlign w:val="top"/>
          </w:tcPr>
          <w:p w14:paraId="18062CB7">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药理学基本理论知识；神经系统药物、心血管系统药物、激素类药物、内脏系统药物、抗感染药、消毒防腐药、麻醉药、抗过敏药等临床常用药物的药理作用、临床应用、不良反应及用药注意事项</w:t>
            </w:r>
          </w:p>
        </w:tc>
        <w:tc>
          <w:tcPr>
            <w:tcW w:w="3281" w:type="dxa"/>
            <w:shd w:val="clear" w:color="auto" w:fill="auto"/>
            <w:vAlign w:val="top"/>
          </w:tcPr>
          <w:p w14:paraId="772B928C">
            <w:pPr>
              <w:keepNext w:val="0"/>
              <w:keepLines w:val="0"/>
              <w:pageBreakBefore w:val="0"/>
              <w:kinsoku/>
              <w:wordWrap/>
              <w:topLinePunct w:val="0"/>
              <w:bidi w:val="0"/>
              <w:jc w:val="left"/>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lang w:val="en-US" w:eastAsia="zh-CN"/>
              </w:rPr>
              <w:t>将药理学知识实际应用能力的培养贯穿于教学，培养学生的临床思维，突出口腔科常用药物的合理应用，为今后开展临床诊疗工作奠定基础</w:t>
            </w:r>
          </w:p>
        </w:tc>
      </w:tr>
    </w:tbl>
    <w:p w14:paraId="19811F5B">
      <w:pPr>
        <w:pStyle w:val="5"/>
        <w:keepNext w:val="0"/>
        <w:keepLines w:val="0"/>
        <w:pageBreakBefore w:val="0"/>
        <w:numPr>
          <w:ilvl w:val="0"/>
          <w:numId w:val="3"/>
        </w:numPr>
        <w:kinsoku/>
        <w:wordWrap/>
        <w:topLinePunct w:val="0"/>
        <w:bidi w:val="0"/>
        <w:spacing w:before="175" w:line="227" w:lineRule="auto"/>
        <w:ind w:firstLine="934" w:firstLineChars="300"/>
        <w:rPr>
          <w:rFonts w:hint="default" w:ascii="Times New Roman" w:hAnsi="Times New Roman" w:cs="Times New Roman"/>
          <w:b/>
          <w:bCs/>
          <w:color w:val="auto"/>
        </w:rPr>
      </w:pPr>
      <w:r>
        <w:rPr>
          <w:rFonts w:hint="default" w:ascii="Times New Roman" w:hAnsi="Times New Roman" w:cs="Times New Roman"/>
          <w:b/>
          <w:bCs/>
          <w:color w:val="auto"/>
        </w:rPr>
        <w:t>专业核心课</w:t>
      </w:r>
    </w:p>
    <w:tbl>
      <w:tblPr>
        <w:tblStyle w:val="11"/>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65"/>
        <w:gridCol w:w="2354"/>
        <w:gridCol w:w="2387"/>
        <w:gridCol w:w="3294"/>
      </w:tblGrid>
      <w:tr w14:paraId="346C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22" w:type="dxa"/>
            <w:vAlign w:val="center"/>
          </w:tcPr>
          <w:p w14:paraId="0E9427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序号</w:t>
            </w:r>
          </w:p>
        </w:tc>
        <w:tc>
          <w:tcPr>
            <w:tcW w:w="1065" w:type="dxa"/>
            <w:vAlign w:val="center"/>
          </w:tcPr>
          <w:p w14:paraId="4D63F3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课程名称</w:t>
            </w:r>
          </w:p>
        </w:tc>
        <w:tc>
          <w:tcPr>
            <w:tcW w:w="2354" w:type="dxa"/>
            <w:vAlign w:val="center"/>
          </w:tcPr>
          <w:p w14:paraId="342FBD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课程目标</w:t>
            </w:r>
          </w:p>
        </w:tc>
        <w:tc>
          <w:tcPr>
            <w:tcW w:w="2387" w:type="dxa"/>
            <w:vAlign w:val="center"/>
          </w:tcPr>
          <w:p w14:paraId="275DD86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教学内容</w:t>
            </w:r>
          </w:p>
        </w:tc>
        <w:tc>
          <w:tcPr>
            <w:tcW w:w="3294" w:type="dxa"/>
            <w:vAlign w:val="center"/>
          </w:tcPr>
          <w:p w14:paraId="5122DC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教学要求</w:t>
            </w:r>
          </w:p>
        </w:tc>
      </w:tr>
      <w:tr w14:paraId="7E60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1A75C072">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w:t>
            </w:r>
          </w:p>
        </w:tc>
        <w:tc>
          <w:tcPr>
            <w:tcW w:w="1065" w:type="dxa"/>
            <w:vAlign w:val="center"/>
          </w:tcPr>
          <w:p w14:paraId="40DF4C61">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口腔解剖生理学</w:t>
            </w:r>
          </w:p>
        </w:tc>
        <w:tc>
          <w:tcPr>
            <w:tcW w:w="2354" w:type="dxa"/>
            <w:vAlign w:val="center"/>
          </w:tcPr>
          <w:p w14:paraId="3457E8A6">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通过本课程的学习，要求学生掌握牙体一般应用名词及牙的分类、组成以及牙体髓腔形态，熟悉非典型恒牙牙体形态，了解乳牙解剖形态及髓腔形态，以及神经、血管、颌面部解剖</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学会石膏牙牙体描绘、雕刻的方法步骤，学会蜡牙冠的雕刻方法步骤</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培养学生树立正确的职业观念，形成积极向上的学习生活态度；通过实训课，培养学生的观察能力和动手操作能力，在潜移默化中提高学生的职业素养</w:t>
            </w:r>
          </w:p>
        </w:tc>
        <w:tc>
          <w:tcPr>
            <w:tcW w:w="2387" w:type="dxa"/>
            <w:vAlign w:val="center"/>
          </w:tcPr>
          <w:p w14:paraId="3C1741B2">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牙体解剖、牙列、牙合和颌位；口腔生理功能；运动系统、脉管及神经解剖，口腔颌面局部解剖；牙体雕刻技术</w:t>
            </w:r>
          </w:p>
        </w:tc>
        <w:tc>
          <w:tcPr>
            <w:tcW w:w="3294" w:type="dxa"/>
            <w:vAlign w:val="center"/>
          </w:tcPr>
          <w:p w14:paraId="7E8A78A1">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课堂理论教学和实践教学为主，教学中可采用多种手段调动学生参与教学，提升教学效果，使学生能掌握牙体及牙列相关理论知识，掌握颌面部局部解剖要点；学会典型牙齿的石膏牙及蜡牙雕刻，能够识别颌面部重要神经、血管的走向，为后续专业课程学习打好良好的基础，同时注重学生专业认同感及价值观的塑造和引领</w:t>
            </w:r>
          </w:p>
        </w:tc>
      </w:tr>
      <w:tr w14:paraId="0A1F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7CCF7219">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w:t>
            </w:r>
          </w:p>
        </w:tc>
        <w:tc>
          <w:tcPr>
            <w:tcW w:w="1065" w:type="dxa"/>
            <w:vAlign w:val="center"/>
          </w:tcPr>
          <w:p w14:paraId="23950A4B">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口腔组织病理学</w:t>
            </w:r>
          </w:p>
        </w:tc>
        <w:tc>
          <w:tcPr>
            <w:tcW w:w="2354" w:type="dxa"/>
            <w:vAlign w:val="center"/>
          </w:tcPr>
          <w:p w14:paraId="20C45BD7">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通过本课程的学习，要求学生掌握牙体组织、牙周组织的正常结构，了解口腔颌面部及牙的发育过程，理解口腔颌面部常见疾病的病因、病理变化及临床特点</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初步学会应用口腔组织病理学的知识解释口腔常见的病理现象 以及熟悉口腔组织及病理学的基本知识</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培养学生树立正确的职业观念，形成积极向上的学习生活态度，通过实训课，培养学生的观察能力和动手操作能力，在潜移默化中提高学生的职业素养</w:t>
            </w:r>
          </w:p>
        </w:tc>
        <w:tc>
          <w:tcPr>
            <w:tcW w:w="2387" w:type="dxa"/>
            <w:vAlign w:val="center"/>
          </w:tcPr>
          <w:p w14:paraId="6AEDD4F9">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牙体组织、牙周组织、口腔黏膜的理化特性和组织结构；牙的发育组织特点；牙齿发育异常、龋齿、牙髓病、根尖周病的组织病理变化；牙周组织疾病、口腔黏膜疾病的病理变化</w:t>
            </w:r>
          </w:p>
        </w:tc>
        <w:tc>
          <w:tcPr>
            <w:tcW w:w="3294" w:type="dxa"/>
            <w:vAlign w:val="center"/>
          </w:tcPr>
          <w:p w14:paraId="1D477FAC">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以课堂理论教学和实践教学为主，教学中可采用多种手段调动学生参与教学，提升教学效果，使学生</w:t>
            </w:r>
            <w:r>
              <w:rPr>
                <w:rFonts w:hint="eastAsia" w:ascii="Times New Roman" w:hAnsi="Times New Roman" w:eastAsia="楷体" w:cs="Times New Roman"/>
                <w:color w:val="auto"/>
                <w:sz w:val="20"/>
                <w:szCs w:val="20"/>
                <w:lang w:eastAsia="zh-CN"/>
              </w:rPr>
              <w:t>能够</w:t>
            </w:r>
            <w:r>
              <w:rPr>
                <w:rFonts w:hint="default" w:ascii="Times New Roman" w:hAnsi="Times New Roman" w:eastAsia="楷体" w:cs="Times New Roman"/>
                <w:color w:val="auto"/>
                <w:sz w:val="20"/>
                <w:szCs w:val="20"/>
              </w:rPr>
              <w:t>掌握口腔颌面部常见疾病的病因和病理变化，能够</w:t>
            </w:r>
            <w:r>
              <w:rPr>
                <w:rFonts w:hint="eastAsia" w:ascii="Times New Roman" w:hAnsi="Times New Roman" w:eastAsia="楷体" w:cs="Times New Roman"/>
                <w:color w:val="auto"/>
                <w:sz w:val="20"/>
                <w:szCs w:val="20"/>
                <w:lang w:eastAsia="zh-CN"/>
              </w:rPr>
              <w:t>学会</w:t>
            </w:r>
            <w:r>
              <w:rPr>
                <w:rFonts w:hint="default" w:ascii="Times New Roman" w:hAnsi="Times New Roman" w:eastAsia="楷体" w:cs="Times New Roman"/>
                <w:color w:val="auto"/>
                <w:sz w:val="20"/>
                <w:szCs w:val="20"/>
              </w:rPr>
              <w:t>应用口腔组织病理学的知识解释口腔常见的病理现象，为后续专业课程的学习打好良好的基础，同时注重学生专业认同感及价值观的塑造和引领</w:t>
            </w:r>
          </w:p>
        </w:tc>
      </w:tr>
      <w:tr w14:paraId="009D6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42F37F44">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3</w:t>
            </w:r>
          </w:p>
        </w:tc>
        <w:tc>
          <w:tcPr>
            <w:tcW w:w="1065" w:type="dxa"/>
            <w:vAlign w:val="center"/>
          </w:tcPr>
          <w:p w14:paraId="71450243">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口腔修复学</w:t>
            </w:r>
          </w:p>
        </w:tc>
        <w:tc>
          <w:tcPr>
            <w:tcW w:w="2354" w:type="dxa"/>
            <w:vAlign w:val="center"/>
          </w:tcPr>
          <w:p w14:paraId="6EB73459">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要求学生掌握口腔义齿制作所需要的牙科材料学知识，以及口腔修复工艺所需要的口腔美学、色彩学及雕刻艺术等知识，了解牙体、牙列缺失及缺失修复的基本理论及口腔各类矫治器的制作原理</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能运用各种义齿制作的工艺加工制作的知识和技术，进行常用义齿的制作</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具备处理医患关系的能力，应变、处理突发事件能力、处理投诉能力，以及一定的计算机处理信息的能力</w:t>
            </w:r>
          </w:p>
        </w:tc>
        <w:tc>
          <w:tcPr>
            <w:tcW w:w="2387" w:type="dxa"/>
            <w:vAlign w:val="center"/>
          </w:tcPr>
          <w:p w14:paraId="39037AB6">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印模与模型；牙体缺损的修复方法；牙列缺损的修复方法；牙列缺失的修复方法；牙周病的修复治疗；颞下颌紊乱的修复治疗；CAD/CAM技术等</w:t>
            </w:r>
          </w:p>
        </w:tc>
        <w:tc>
          <w:tcPr>
            <w:tcW w:w="3294" w:type="dxa"/>
            <w:vAlign w:val="center"/>
          </w:tcPr>
          <w:p w14:paraId="0A35BDB3">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课堂理论教学及实验实训相结合，学生们能够掌握一技之长，在掌握基本理论的基础上，重点要求学生通过实验实训掌握牙体缺损、牙列缺损以及牙列缺失的常用修复技能，满足就业的知识和技术的需要，培养学生的人文素养、工匠精神，树立正确的</w:t>
            </w:r>
            <w:r>
              <w:rPr>
                <w:rFonts w:hint="eastAsia" w:ascii="Times New Roman" w:hAnsi="Times New Roman" w:eastAsia="楷体" w:cs="Times New Roman"/>
                <w:color w:val="auto"/>
                <w:sz w:val="20"/>
                <w:szCs w:val="20"/>
                <w:lang w:eastAsia="zh-CN"/>
              </w:rPr>
              <w:t>世界观、人生观、价值观</w:t>
            </w:r>
            <w:r>
              <w:rPr>
                <w:rFonts w:hint="default" w:ascii="Times New Roman" w:hAnsi="Times New Roman" w:eastAsia="楷体" w:cs="Times New Roman"/>
                <w:color w:val="auto"/>
                <w:sz w:val="20"/>
                <w:szCs w:val="20"/>
              </w:rPr>
              <w:t>，提高职业道德素养，强化责任意识、团队精神、创新意识，为学生的职业</w:t>
            </w:r>
            <w:r>
              <w:rPr>
                <w:rFonts w:hint="eastAsia" w:ascii="Times New Roman" w:hAnsi="Times New Roman" w:eastAsia="楷体" w:cs="Times New Roman"/>
                <w:color w:val="auto"/>
                <w:sz w:val="20"/>
                <w:szCs w:val="20"/>
                <w:lang w:eastAsia="zh-CN"/>
              </w:rPr>
              <w:t>能力</w:t>
            </w:r>
            <w:r>
              <w:rPr>
                <w:rFonts w:hint="default" w:ascii="Times New Roman" w:hAnsi="Times New Roman" w:eastAsia="楷体" w:cs="Times New Roman"/>
                <w:color w:val="auto"/>
                <w:sz w:val="20"/>
                <w:szCs w:val="20"/>
              </w:rPr>
              <w:t>发展奠定良好的基础</w:t>
            </w:r>
          </w:p>
        </w:tc>
      </w:tr>
      <w:tr w14:paraId="3FED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006222DC">
            <w:pPr>
              <w:keepNext w:val="0"/>
              <w:keepLines w:val="0"/>
              <w:pageBreakBefore w:val="0"/>
              <w:widowControl/>
              <w:kinsoku/>
              <w:wordWrap/>
              <w:overflowPunct w:val="0"/>
              <w:topLinePunct w:val="0"/>
              <w:autoSpaceDE w:val="0"/>
              <w:autoSpaceDN w:val="0"/>
              <w:bidi w:val="0"/>
              <w:adjustRightInd w:val="0"/>
              <w:snapToGrid w:val="0"/>
              <w:spacing w:line="300" w:lineRule="exact"/>
              <w:ind w:firstLine="100" w:firstLineChars="5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4</w:t>
            </w:r>
          </w:p>
        </w:tc>
        <w:tc>
          <w:tcPr>
            <w:tcW w:w="1065" w:type="dxa"/>
            <w:vAlign w:val="center"/>
          </w:tcPr>
          <w:p w14:paraId="25AB6947">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口腔内科学</w:t>
            </w:r>
          </w:p>
        </w:tc>
        <w:tc>
          <w:tcPr>
            <w:tcW w:w="2354" w:type="dxa"/>
            <w:vAlign w:val="center"/>
          </w:tcPr>
          <w:p w14:paraId="491B4ACD">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要求学生，掌握口腔内科常见病的临床表现、检查与诊断、治疗和预防的基本知识和基本技能；熟悉口腔内科常见病的病因和流行病学因素；了解口腔内科疾病诊疗的新动向、新进展；旨在培养面向基层口腔助理医师工作岗位，具备扎实的职业能力、缜密的临床思维方法、分析问题和解决问题的能力、良好的沟通和团队协作能力，树立高尚的职业道德</w:t>
            </w:r>
          </w:p>
        </w:tc>
        <w:tc>
          <w:tcPr>
            <w:tcW w:w="2387" w:type="dxa"/>
            <w:vAlign w:val="center"/>
          </w:tcPr>
          <w:p w14:paraId="1BE6AB64">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口腔内科检查及医疗文件的书写；牙体牙髓病（龋病、牙体硬组织非龋性疾病）；牙周病；儿童牙病；老年牙病；口腔黏膜病</w:t>
            </w:r>
          </w:p>
        </w:tc>
        <w:tc>
          <w:tcPr>
            <w:tcW w:w="3294" w:type="dxa"/>
            <w:vAlign w:val="center"/>
          </w:tcPr>
          <w:p w14:paraId="31A602C9">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课堂理论教学和实践教学为主，教学中可采用多种手段调动学生参与教学，提升教学效果，使学生掌握口腔内科临床工作中常见的疾病的诊疗手段，满足就业的知识和技术的需要，培养学生的人文素养、工匠精神，树立正确的</w:t>
            </w:r>
            <w:r>
              <w:rPr>
                <w:rFonts w:hint="eastAsia" w:ascii="Times New Roman" w:hAnsi="Times New Roman" w:eastAsia="楷体" w:cs="Times New Roman"/>
                <w:color w:val="auto"/>
                <w:sz w:val="20"/>
                <w:szCs w:val="20"/>
                <w:lang w:eastAsia="zh-CN"/>
              </w:rPr>
              <w:t>世界观、人生观、价值观</w:t>
            </w:r>
            <w:r>
              <w:rPr>
                <w:rFonts w:hint="default" w:ascii="Times New Roman" w:hAnsi="Times New Roman" w:eastAsia="楷体" w:cs="Times New Roman"/>
                <w:color w:val="auto"/>
                <w:sz w:val="20"/>
                <w:szCs w:val="20"/>
              </w:rPr>
              <w:t>，提高职业道德素养，强化责任意识、团队精神、创新意识，为学生的职业</w:t>
            </w:r>
            <w:r>
              <w:rPr>
                <w:rFonts w:hint="eastAsia" w:ascii="Times New Roman" w:hAnsi="Times New Roman" w:eastAsia="楷体" w:cs="Times New Roman"/>
                <w:color w:val="auto"/>
                <w:sz w:val="20"/>
                <w:szCs w:val="20"/>
                <w:lang w:eastAsia="zh-CN"/>
              </w:rPr>
              <w:t>能力</w:t>
            </w:r>
            <w:r>
              <w:rPr>
                <w:rFonts w:hint="default" w:ascii="Times New Roman" w:hAnsi="Times New Roman" w:eastAsia="楷体" w:cs="Times New Roman"/>
                <w:color w:val="auto"/>
                <w:sz w:val="20"/>
                <w:szCs w:val="20"/>
              </w:rPr>
              <w:t>发展奠定良好的基础</w:t>
            </w:r>
          </w:p>
        </w:tc>
      </w:tr>
      <w:tr w14:paraId="79DD6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247EDC9D">
            <w:pPr>
              <w:keepNext w:val="0"/>
              <w:keepLines w:val="0"/>
              <w:pageBreakBefore w:val="0"/>
              <w:widowControl/>
              <w:kinsoku/>
              <w:wordWrap/>
              <w:overflowPunct w:val="0"/>
              <w:topLinePunct w:val="0"/>
              <w:autoSpaceDE w:val="0"/>
              <w:autoSpaceDN w:val="0"/>
              <w:bidi w:val="0"/>
              <w:adjustRightInd w:val="0"/>
              <w:snapToGrid w:val="0"/>
              <w:spacing w:line="300" w:lineRule="exact"/>
              <w:ind w:firstLine="100" w:firstLineChars="5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5</w:t>
            </w:r>
          </w:p>
        </w:tc>
        <w:tc>
          <w:tcPr>
            <w:tcW w:w="1065" w:type="dxa"/>
            <w:vAlign w:val="center"/>
          </w:tcPr>
          <w:p w14:paraId="5F2DB97D">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口腔颌面</w:t>
            </w:r>
          </w:p>
          <w:p w14:paraId="6275CC0C">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外科学</w:t>
            </w:r>
          </w:p>
        </w:tc>
        <w:tc>
          <w:tcPr>
            <w:tcW w:w="2354" w:type="dxa"/>
            <w:vAlign w:val="center"/>
          </w:tcPr>
          <w:p w14:paraId="56EE8733">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w:t>
            </w:r>
            <w:r>
              <w:rPr>
                <w:rFonts w:hint="eastAsia" w:ascii="Times New Roman" w:hAnsi="Times New Roman" w:eastAsia="楷体" w:cs="Times New Roman"/>
                <w:color w:val="auto"/>
                <w:sz w:val="20"/>
                <w:szCs w:val="20"/>
                <w:lang w:eastAsia="zh-CN"/>
              </w:rPr>
              <w:t>课程</w:t>
            </w:r>
            <w:r>
              <w:rPr>
                <w:rFonts w:hint="default" w:ascii="Times New Roman" w:hAnsi="Times New Roman" w:eastAsia="楷体" w:cs="Times New Roman"/>
                <w:color w:val="auto"/>
                <w:sz w:val="20"/>
                <w:szCs w:val="20"/>
              </w:rPr>
              <w:t>的学习，要求学生掌握口腔</w:t>
            </w:r>
            <w:r>
              <w:rPr>
                <w:rFonts w:hint="eastAsia" w:ascii="Times New Roman" w:hAnsi="Times New Roman" w:eastAsia="楷体" w:cs="Times New Roman"/>
                <w:color w:val="auto"/>
                <w:sz w:val="20"/>
                <w:szCs w:val="20"/>
                <w:lang w:eastAsia="zh-CN"/>
              </w:rPr>
              <w:t>颌面</w:t>
            </w:r>
            <w:r>
              <w:rPr>
                <w:rFonts w:hint="default" w:ascii="Times New Roman" w:hAnsi="Times New Roman" w:eastAsia="楷体" w:cs="Times New Roman"/>
                <w:color w:val="auto"/>
                <w:sz w:val="20"/>
                <w:szCs w:val="20"/>
              </w:rPr>
              <w:t>外科基本理论知识和基本技能，能够对口腔</w:t>
            </w:r>
            <w:r>
              <w:rPr>
                <w:rFonts w:hint="eastAsia" w:ascii="Times New Roman" w:hAnsi="Times New Roman" w:eastAsia="楷体" w:cs="Times New Roman"/>
                <w:color w:val="auto"/>
                <w:sz w:val="20"/>
                <w:szCs w:val="20"/>
                <w:lang w:eastAsia="zh-CN"/>
              </w:rPr>
              <w:t>颌面</w:t>
            </w:r>
            <w:r>
              <w:rPr>
                <w:rFonts w:hint="default" w:ascii="Times New Roman" w:hAnsi="Times New Roman" w:eastAsia="楷体" w:cs="Times New Roman"/>
                <w:color w:val="auto"/>
                <w:sz w:val="20"/>
                <w:szCs w:val="20"/>
              </w:rPr>
              <w:t>外科常见病、多发病进行诊断、治疗和护理，并能对口腔颌面外科危重病例进行抢救</w:t>
            </w:r>
            <w:r>
              <w:rPr>
                <w:rFonts w:hint="eastAsia" w:ascii="Times New Roman" w:hAnsi="Times New Roman" w:eastAsia="楷体" w:cs="Times New Roman"/>
                <w:color w:val="auto"/>
                <w:sz w:val="20"/>
                <w:szCs w:val="20"/>
                <w:lang w:eastAsia="zh-CN"/>
              </w:rPr>
              <w:t>；</w:t>
            </w:r>
          </w:p>
          <w:p w14:paraId="34506606">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掌握口腔</w:t>
            </w:r>
            <w:r>
              <w:rPr>
                <w:rFonts w:hint="eastAsia" w:ascii="Times New Roman" w:hAnsi="Times New Roman" w:eastAsia="楷体" w:cs="Times New Roman"/>
                <w:color w:val="auto"/>
                <w:sz w:val="20"/>
                <w:szCs w:val="20"/>
                <w:lang w:eastAsia="zh-CN"/>
              </w:rPr>
              <w:t>颌面</w:t>
            </w:r>
            <w:r>
              <w:rPr>
                <w:rFonts w:hint="default" w:ascii="Times New Roman" w:hAnsi="Times New Roman" w:eastAsia="楷体" w:cs="Times New Roman"/>
                <w:color w:val="auto"/>
                <w:sz w:val="20"/>
                <w:szCs w:val="20"/>
              </w:rPr>
              <w:t>外科常用的检查技术、操作技术，熟悉常见疾病病人的病例分析方法和步骤</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具备灵活和综合运用知识的能力，树立强烈的社会责任感，树立防病治病、救死扶伤、保护人民口腔健康的神圣职责</w:t>
            </w:r>
          </w:p>
        </w:tc>
        <w:tc>
          <w:tcPr>
            <w:tcW w:w="2387" w:type="dxa"/>
            <w:vAlign w:val="center"/>
          </w:tcPr>
          <w:p w14:paraId="4C0BEBD0">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外科基础知识及基本操作；麻醉与镇痛；牙及牙槽外科；种植外科；口腔颌面部损伤及感染；口腔颌面部肿瘤；唾液腺疾病；颞下颌关节疾病；唇裂与腭裂；口腔颌面部神经疾病；牙颌面畸形等</w:t>
            </w:r>
          </w:p>
        </w:tc>
        <w:tc>
          <w:tcPr>
            <w:tcW w:w="3294" w:type="dxa"/>
            <w:vAlign w:val="center"/>
          </w:tcPr>
          <w:p w14:paraId="700B8687">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以课堂理论教学和实践教学为主，教学中可采用多种手段调动学生参与教学，提升教学效果，使学生掌握口腔</w:t>
            </w:r>
            <w:r>
              <w:rPr>
                <w:rFonts w:hint="eastAsia" w:ascii="Times New Roman" w:hAnsi="Times New Roman" w:eastAsia="楷体" w:cs="Times New Roman"/>
                <w:color w:val="auto"/>
                <w:sz w:val="20"/>
                <w:szCs w:val="20"/>
                <w:lang w:eastAsia="zh-CN"/>
              </w:rPr>
              <w:t>颌面</w:t>
            </w:r>
            <w:r>
              <w:rPr>
                <w:rFonts w:hint="default" w:ascii="Times New Roman" w:hAnsi="Times New Roman" w:eastAsia="楷体" w:cs="Times New Roman"/>
                <w:color w:val="auto"/>
                <w:sz w:val="20"/>
                <w:szCs w:val="20"/>
              </w:rPr>
              <w:t>外科基本理论知识和基本技能，能够对口腔</w:t>
            </w:r>
            <w:r>
              <w:rPr>
                <w:rFonts w:hint="eastAsia" w:ascii="Times New Roman" w:hAnsi="Times New Roman" w:eastAsia="楷体" w:cs="Times New Roman"/>
                <w:color w:val="auto"/>
                <w:sz w:val="20"/>
                <w:szCs w:val="20"/>
                <w:lang w:eastAsia="zh-CN"/>
              </w:rPr>
              <w:t>颌面</w:t>
            </w:r>
            <w:r>
              <w:rPr>
                <w:rFonts w:hint="default" w:ascii="Times New Roman" w:hAnsi="Times New Roman" w:eastAsia="楷体" w:cs="Times New Roman"/>
                <w:color w:val="auto"/>
                <w:sz w:val="20"/>
                <w:szCs w:val="20"/>
              </w:rPr>
              <w:t>外科常见病、多发病进行诊断、治疗和护理，满足就业的知识和技术的需要，培养学生的人文素养、工匠精神，树立正确的</w:t>
            </w:r>
            <w:r>
              <w:rPr>
                <w:rFonts w:hint="eastAsia" w:ascii="Times New Roman" w:hAnsi="Times New Roman" w:eastAsia="楷体" w:cs="Times New Roman"/>
                <w:color w:val="auto"/>
                <w:sz w:val="20"/>
                <w:szCs w:val="20"/>
                <w:lang w:eastAsia="zh-CN"/>
              </w:rPr>
              <w:t>世界观、人生观、价值观</w:t>
            </w:r>
            <w:r>
              <w:rPr>
                <w:rFonts w:hint="default" w:ascii="Times New Roman" w:hAnsi="Times New Roman" w:eastAsia="楷体" w:cs="Times New Roman"/>
                <w:color w:val="auto"/>
                <w:sz w:val="20"/>
                <w:szCs w:val="20"/>
              </w:rPr>
              <w:t>，提高职业道德素养，强化责任意识、团队精神、创新意识，为学生的职业</w:t>
            </w:r>
            <w:r>
              <w:rPr>
                <w:rFonts w:hint="eastAsia" w:ascii="Times New Roman" w:hAnsi="Times New Roman" w:eastAsia="楷体" w:cs="Times New Roman"/>
                <w:color w:val="auto"/>
                <w:sz w:val="20"/>
                <w:szCs w:val="20"/>
                <w:lang w:eastAsia="zh-CN"/>
              </w:rPr>
              <w:t>能力</w:t>
            </w:r>
            <w:r>
              <w:rPr>
                <w:rFonts w:hint="default" w:ascii="Times New Roman" w:hAnsi="Times New Roman" w:eastAsia="楷体" w:cs="Times New Roman"/>
                <w:color w:val="auto"/>
                <w:sz w:val="20"/>
                <w:szCs w:val="20"/>
              </w:rPr>
              <w:t>发展奠定良好的基础</w:t>
            </w:r>
          </w:p>
        </w:tc>
      </w:tr>
      <w:tr w14:paraId="7D4C6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70CF909B">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6</w:t>
            </w:r>
          </w:p>
        </w:tc>
        <w:tc>
          <w:tcPr>
            <w:tcW w:w="1065" w:type="dxa"/>
            <w:vAlign w:val="center"/>
          </w:tcPr>
          <w:p w14:paraId="24F9CDFE">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口腔预防</w:t>
            </w:r>
          </w:p>
          <w:p w14:paraId="31581846">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医学</w:t>
            </w:r>
          </w:p>
        </w:tc>
        <w:tc>
          <w:tcPr>
            <w:tcW w:w="2354" w:type="dxa"/>
            <w:vAlign w:val="center"/>
          </w:tcPr>
          <w:p w14:paraId="09AFD66F">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通过本课程的学习，使学生能全面了解预防医学的定义和发展，口腔流行病学的研究方法；掌握龋病，牙周病以及错颌畸形的预防和特定口腔人群，社区口腔保健以及口腔健康教育与促进的意义</w:t>
            </w:r>
          </w:p>
        </w:tc>
        <w:tc>
          <w:tcPr>
            <w:tcW w:w="2387" w:type="dxa"/>
            <w:vAlign w:val="center"/>
          </w:tcPr>
          <w:p w14:paraId="6A09CD09">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口腔流行病学；龋病的预防、牙周病的预防；错牙合畸形的预防；特定人群的口腔保健；膳食营养与口腔健康；口腔健康教育与促进；社区口腔卫生保健等</w:t>
            </w:r>
          </w:p>
        </w:tc>
        <w:tc>
          <w:tcPr>
            <w:tcW w:w="3294" w:type="dxa"/>
            <w:vAlign w:val="center"/>
          </w:tcPr>
          <w:p w14:paraId="35B9CB65">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能明确口腔医学技师的工作职责，具备较强的医技沟通能力并掌握各类早期矫治器的基本结构与功能以及进行预防性矫治的意义；培养质量意识、环保意识、安全意识、信息素养、工匠精神、创新思维，并具有集体意识和团队合作精神</w:t>
            </w:r>
          </w:p>
        </w:tc>
      </w:tr>
      <w:tr w14:paraId="0013F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10F33A91">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7</w:t>
            </w:r>
          </w:p>
        </w:tc>
        <w:tc>
          <w:tcPr>
            <w:tcW w:w="1065" w:type="dxa"/>
            <w:shd w:val="clear" w:color="auto" w:fill="auto"/>
            <w:vAlign w:val="center"/>
          </w:tcPr>
          <w:p w14:paraId="75DCC0A1">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口腔颌面医学影像诊断学</w:t>
            </w:r>
          </w:p>
        </w:tc>
        <w:tc>
          <w:tcPr>
            <w:tcW w:w="2354" w:type="dxa"/>
            <w:shd w:val="clear" w:color="auto" w:fill="auto"/>
            <w:vAlign w:val="top"/>
          </w:tcPr>
          <w:p w14:paraId="6BA0DFC6">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通过本课程的学习，要求学生</w:t>
            </w:r>
            <w:r>
              <w:rPr>
                <w:rFonts w:hint="eastAsia" w:ascii="Times New Roman" w:hAnsi="Times New Roman" w:eastAsia="楷体" w:cs="Times New Roman"/>
                <w:color w:val="auto"/>
                <w:sz w:val="20"/>
                <w:szCs w:val="20"/>
                <w:lang w:eastAsia="zh-CN"/>
              </w:rPr>
              <w:t>掌握</w:t>
            </w:r>
            <w:r>
              <w:rPr>
                <w:rFonts w:hint="default" w:ascii="Times New Roman" w:hAnsi="Times New Roman" w:eastAsia="楷体" w:cs="Times New Roman"/>
                <w:color w:val="auto"/>
                <w:sz w:val="20"/>
                <w:szCs w:val="20"/>
              </w:rPr>
              <w:t>口腔颌面部组织的正常解剖结构和常见疾病的影像学表现；了解口腔影像检查设备的基本原理和常用技术。</w:t>
            </w:r>
          </w:p>
        </w:tc>
        <w:tc>
          <w:tcPr>
            <w:tcW w:w="2387" w:type="dxa"/>
            <w:shd w:val="clear" w:color="auto" w:fill="auto"/>
            <w:vAlign w:val="top"/>
          </w:tcPr>
          <w:p w14:paraId="3088C9B8">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口腔颌面部X线平片检查和CBCT检查的影像学表现。牙及牙周疾病、颌面骨炎症、骨折、囊肿、肿瘤等疾病的影像学表现及鉴别诊断。</w:t>
            </w:r>
          </w:p>
        </w:tc>
        <w:tc>
          <w:tcPr>
            <w:tcW w:w="3294" w:type="dxa"/>
            <w:shd w:val="clear" w:color="auto" w:fill="auto"/>
            <w:vAlign w:val="top"/>
          </w:tcPr>
          <w:p w14:paraId="6634D3D5">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lang w:val="en-US" w:eastAsia="en-US"/>
              </w:rPr>
            </w:pPr>
            <w:r>
              <w:rPr>
                <w:rFonts w:hint="default" w:ascii="Times New Roman" w:hAnsi="Times New Roman" w:eastAsia="楷体" w:cs="Times New Roman"/>
                <w:color w:val="auto"/>
                <w:sz w:val="20"/>
                <w:szCs w:val="20"/>
              </w:rPr>
              <w:t>以课堂理论教学和实践教学为主，教学中可采用多种手段调动学生参与教学，提升教学效果，使学生掌握口腔颌面部组织的正常解剖结构和常见疾病的影像学表现，满足就业的知识和技术的需要，培养学生的人文素养、工匠精神，树立正确的</w:t>
            </w:r>
            <w:r>
              <w:rPr>
                <w:rFonts w:hint="eastAsia" w:ascii="Times New Roman" w:hAnsi="Times New Roman" w:eastAsia="楷体" w:cs="Times New Roman"/>
                <w:color w:val="auto"/>
                <w:sz w:val="20"/>
                <w:szCs w:val="20"/>
                <w:lang w:eastAsia="zh-CN"/>
              </w:rPr>
              <w:t>世界观、人生观、价值观</w:t>
            </w:r>
            <w:r>
              <w:rPr>
                <w:rFonts w:hint="default" w:ascii="Times New Roman" w:hAnsi="Times New Roman" w:eastAsia="楷体" w:cs="Times New Roman"/>
                <w:color w:val="auto"/>
                <w:sz w:val="20"/>
                <w:szCs w:val="20"/>
              </w:rPr>
              <w:t>，提高职业道德素养，强化责任意识、团队精神、创新意识，为学生的职业</w:t>
            </w:r>
            <w:r>
              <w:rPr>
                <w:rFonts w:hint="eastAsia" w:ascii="Times New Roman" w:hAnsi="Times New Roman" w:eastAsia="楷体" w:cs="Times New Roman"/>
                <w:color w:val="auto"/>
                <w:sz w:val="20"/>
                <w:szCs w:val="20"/>
                <w:lang w:eastAsia="zh-CN"/>
              </w:rPr>
              <w:t>能力</w:t>
            </w:r>
            <w:r>
              <w:rPr>
                <w:rFonts w:hint="default" w:ascii="Times New Roman" w:hAnsi="Times New Roman" w:eastAsia="楷体" w:cs="Times New Roman"/>
                <w:color w:val="auto"/>
                <w:sz w:val="20"/>
                <w:szCs w:val="20"/>
              </w:rPr>
              <w:t>发展奠定良好的基础</w:t>
            </w:r>
          </w:p>
        </w:tc>
      </w:tr>
    </w:tbl>
    <w:p w14:paraId="78AA64B9">
      <w:pPr>
        <w:keepNext w:val="0"/>
        <w:keepLines w:val="0"/>
        <w:pageBreakBefore w:val="0"/>
        <w:kinsoku/>
        <w:wordWrap/>
        <w:topLinePunct w:val="0"/>
        <w:bidi w:val="0"/>
        <w:spacing w:line="38" w:lineRule="auto"/>
        <w:rPr>
          <w:rFonts w:hint="default" w:ascii="Times New Roman" w:hAnsi="Times New Roman" w:cs="Times New Roman"/>
          <w:color w:val="auto"/>
          <w:sz w:val="2"/>
        </w:rPr>
      </w:pPr>
    </w:p>
    <w:p w14:paraId="337220FE">
      <w:pPr>
        <w:pStyle w:val="5"/>
        <w:keepNext w:val="0"/>
        <w:keepLines w:val="0"/>
        <w:pageBreakBefore w:val="0"/>
        <w:numPr>
          <w:ilvl w:val="0"/>
          <w:numId w:val="0"/>
        </w:numPr>
        <w:kinsoku/>
        <w:wordWrap/>
        <w:topLinePunct w:val="0"/>
        <w:bidi w:val="0"/>
        <w:spacing w:before="175" w:line="227" w:lineRule="auto"/>
        <w:ind w:firstLine="618" w:firstLineChars="200"/>
        <w:rPr>
          <w:rFonts w:hint="default" w:ascii="Times New Roman" w:hAnsi="Times New Roman" w:cs="Times New Roman"/>
          <w:b/>
          <w:bCs/>
          <w:color w:val="auto"/>
          <w:spacing w:val="-1"/>
        </w:rPr>
      </w:pPr>
      <w:r>
        <w:rPr>
          <w:rFonts w:hint="default" w:ascii="Times New Roman" w:hAnsi="Times New Roman" w:cs="Times New Roman"/>
          <w:b/>
          <w:bCs/>
          <w:color w:val="auto"/>
          <w:spacing w:val="-1"/>
          <w:lang w:val="en-US" w:eastAsia="zh-CN"/>
        </w:rPr>
        <w:t>3.</w:t>
      </w:r>
      <w:r>
        <w:rPr>
          <w:rFonts w:hint="default" w:ascii="Times New Roman" w:hAnsi="Times New Roman" w:cs="Times New Roman"/>
          <w:b/>
          <w:bCs/>
          <w:color w:val="auto"/>
          <w:spacing w:val="-1"/>
        </w:rPr>
        <w:t>专业拓展课</w:t>
      </w:r>
    </w:p>
    <w:tbl>
      <w:tblPr>
        <w:tblStyle w:val="11"/>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65"/>
        <w:gridCol w:w="2354"/>
        <w:gridCol w:w="2374"/>
        <w:gridCol w:w="3307"/>
      </w:tblGrid>
      <w:tr w14:paraId="6D71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22" w:type="dxa"/>
            <w:vAlign w:val="center"/>
          </w:tcPr>
          <w:p w14:paraId="25E98E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序号</w:t>
            </w:r>
          </w:p>
        </w:tc>
        <w:tc>
          <w:tcPr>
            <w:tcW w:w="1065" w:type="dxa"/>
            <w:vAlign w:val="center"/>
          </w:tcPr>
          <w:p w14:paraId="0359B4D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课程名称</w:t>
            </w:r>
          </w:p>
        </w:tc>
        <w:tc>
          <w:tcPr>
            <w:tcW w:w="2354" w:type="dxa"/>
            <w:vAlign w:val="center"/>
          </w:tcPr>
          <w:p w14:paraId="5B83A9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课程目标</w:t>
            </w:r>
          </w:p>
        </w:tc>
        <w:tc>
          <w:tcPr>
            <w:tcW w:w="2374" w:type="dxa"/>
            <w:vAlign w:val="center"/>
          </w:tcPr>
          <w:p w14:paraId="354B21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教学内容</w:t>
            </w:r>
          </w:p>
        </w:tc>
        <w:tc>
          <w:tcPr>
            <w:tcW w:w="3307" w:type="dxa"/>
            <w:vAlign w:val="center"/>
          </w:tcPr>
          <w:p w14:paraId="075DC3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color w:val="auto"/>
                <w:spacing w:val="-2"/>
                <w:sz w:val="20"/>
                <w:szCs w:val="20"/>
                <w:lang w:val="en-US" w:eastAsia="zh-CN"/>
              </w:rPr>
            </w:pPr>
            <w:r>
              <w:rPr>
                <w:rFonts w:hint="default" w:ascii="Times New Roman" w:hAnsi="Times New Roman" w:eastAsia="楷体" w:cs="Times New Roman"/>
                <w:b/>
                <w:bCs/>
                <w:color w:val="auto"/>
                <w:spacing w:val="-2"/>
                <w:sz w:val="20"/>
                <w:szCs w:val="20"/>
                <w:lang w:val="en-US" w:eastAsia="zh-CN"/>
              </w:rPr>
              <w:t>教学要求</w:t>
            </w:r>
          </w:p>
        </w:tc>
      </w:tr>
      <w:tr w14:paraId="41DA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7D70AC04">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1</w:t>
            </w:r>
          </w:p>
        </w:tc>
        <w:tc>
          <w:tcPr>
            <w:tcW w:w="1065" w:type="dxa"/>
            <w:vAlign w:val="center"/>
          </w:tcPr>
          <w:p w14:paraId="48DC7F30">
            <w:pPr>
              <w:keepNext w:val="0"/>
              <w:keepLines w:val="0"/>
              <w:pageBreakBefore w:val="0"/>
              <w:widowControl/>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口腔正畸学</w:t>
            </w:r>
          </w:p>
        </w:tc>
        <w:tc>
          <w:tcPr>
            <w:tcW w:w="2354" w:type="dxa"/>
            <w:vAlign w:val="center"/>
          </w:tcPr>
          <w:p w14:paraId="7951F71B">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使学生熟练掌握牙颌面发育畸形形成的病因、分类及常见错牙合畸形的矫治。掌握各类矫治器及矫治技术、错牙合畸形的早期矫治等。了解颅颌面的生长发育、正畸治疗的生物机械原理等。了解错牙合畸形的危害、成年人正畸治疗及先进的种植支抗技术等</w:t>
            </w:r>
          </w:p>
        </w:tc>
        <w:tc>
          <w:tcPr>
            <w:tcW w:w="2374" w:type="dxa"/>
            <w:vAlign w:val="center"/>
          </w:tcPr>
          <w:p w14:paraId="7BC75273">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错牙合畸形的临床表现及患病率；矫治方法和矫治器；颅颌面部的生长发育；错牙合畸形的病因及检查诊断；正畸治疗的生物机械原理、矫治器与矫治技术、错牙合畸形的早期矫治、常见错牙合畸形的矫治；成人正畸、正畸治疗中的口腔健康教育和卫生保健、保持等</w:t>
            </w:r>
          </w:p>
        </w:tc>
        <w:tc>
          <w:tcPr>
            <w:tcW w:w="3307" w:type="dxa"/>
            <w:vAlign w:val="center"/>
          </w:tcPr>
          <w:p w14:paraId="2B5F1175">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教学以课堂讲授辅之以实践性教学，做到理论课教学与实践课教学</w:t>
            </w:r>
            <w:r>
              <w:rPr>
                <w:rFonts w:hint="eastAsia" w:ascii="Times New Roman" w:hAnsi="Times New Roman" w:eastAsia="楷体" w:cs="Times New Roman"/>
                <w:color w:val="auto"/>
                <w:sz w:val="20"/>
                <w:szCs w:val="20"/>
                <w:lang w:eastAsia="zh-CN"/>
              </w:rPr>
              <w:t>相辅相成</w:t>
            </w:r>
            <w:r>
              <w:rPr>
                <w:rFonts w:hint="default" w:ascii="Times New Roman" w:hAnsi="Times New Roman" w:eastAsia="楷体" w:cs="Times New Roman"/>
                <w:color w:val="auto"/>
                <w:sz w:val="20"/>
                <w:szCs w:val="20"/>
              </w:rPr>
              <w:t>。部分自学内容课前留讨论题目以供指导学生自学。着重培养学生实践动手能力，并运用相关专业知识解决工作中实际问题</w:t>
            </w:r>
          </w:p>
        </w:tc>
      </w:tr>
      <w:tr w14:paraId="5CC0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13F56178">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2</w:t>
            </w:r>
          </w:p>
        </w:tc>
        <w:tc>
          <w:tcPr>
            <w:tcW w:w="1065" w:type="dxa"/>
            <w:vAlign w:val="center"/>
          </w:tcPr>
          <w:p w14:paraId="23A65F4B">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口腔材料学</w:t>
            </w:r>
          </w:p>
        </w:tc>
        <w:tc>
          <w:tcPr>
            <w:tcW w:w="2354" w:type="dxa"/>
            <w:vAlign w:val="top"/>
          </w:tcPr>
          <w:p w14:paraId="0418E67C">
            <w:pPr>
              <w:keepNext w:val="0"/>
              <w:keepLines w:val="0"/>
              <w:pageBreakBefore w:val="0"/>
              <w:widowControl/>
              <w:kinsoku/>
              <w:wordWrap/>
              <w:topLinePunct w:val="0"/>
              <w:autoSpaceDE w:val="0"/>
              <w:autoSpaceDN w:val="0"/>
              <w:bidi w:val="0"/>
              <w:adjustRightInd w:val="0"/>
              <w:snapToGrid w:val="0"/>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通过本课程的学习，要求学生熟悉了解口腔临床常用材料的分类、基本组成、特性等理论知识，为后续的口腔医学专业技能课程的实践操作课打下基础</w:t>
            </w:r>
          </w:p>
        </w:tc>
        <w:tc>
          <w:tcPr>
            <w:tcW w:w="2374" w:type="dxa"/>
            <w:vAlign w:val="top"/>
          </w:tcPr>
          <w:p w14:paraId="0ECB2DC4">
            <w:pPr>
              <w:keepNext w:val="0"/>
              <w:keepLines w:val="0"/>
              <w:pageBreakBefore w:val="0"/>
              <w:widowControl/>
              <w:kinsoku/>
              <w:wordWrap/>
              <w:topLinePunct w:val="0"/>
              <w:autoSpaceDE w:val="0"/>
              <w:autoSpaceDN w:val="0"/>
              <w:bidi w:val="0"/>
              <w:adjustRightInd w:val="0"/>
              <w:snapToGrid w:val="0"/>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口腔材料的分类及性能；口腔高分子材料；口腔无机非金属材料；口腔金属材料；口腔辅助材料等</w:t>
            </w:r>
          </w:p>
        </w:tc>
        <w:tc>
          <w:tcPr>
            <w:tcW w:w="3307" w:type="dxa"/>
            <w:vAlign w:val="top"/>
          </w:tcPr>
          <w:p w14:paraId="2F2AA844">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以课堂理论教学和实践教学为主，教学中可采用多种手段调动学生参与教学，提升教学效果，使学生能掌握印模材料、石膏材料、蜡型材料、铸造包埋</w:t>
            </w:r>
            <w:r>
              <w:rPr>
                <w:rFonts w:hint="eastAsia" w:ascii="Times New Roman" w:hAnsi="Times New Roman" w:eastAsia="楷体" w:cs="Times New Roman"/>
                <w:color w:val="auto"/>
                <w:sz w:val="20"/>
                <w:szCs w:val="20"/>
                <w:lang w:eastAsia="zh-CN"/>
              </w:rPr>
              <w:t>材料</w:t>
            </w:r>
            <w:r>
              <w:rPr>
                <w:rFonts w:hint="default" w:ascii="Times New Roman" w:hAnsi="Times New Roman" w:eastAsia="楷体" w:cs="Times New Roman"/>
                <w:color w:val="auto"/>
                <w:sz w:val="20"/>
                <w:szCs w:val="20"/>
              </w:rPr>
              <w:t>、陶瓷材料、金属材料等临床及义齿加工流程中的常用材料名称及正确使用方法</w:t>
            </w:r>
          </w:p>
        </w:tc>
      </w:tr>
      <w:tr w14:paraId="139A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134C7523">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3</w:t>
            </w:r>
          </w:p>
        </w:tc>
        <w:tc>
          <w:tcPr>
            <w:tcW w:w="1065" w:type="dxa"/>
            <w:vAlign w:val="center"/>
          </w:tcPr>
          <w:p w14:paraId="5A5910AF">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口腔医学</w:t>
            </w:r>
          </w:p>
          <w:p w14:paraId="79276177">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美学</w:t>
            </w:r>
          </w:p>
        </w:tc>
        <w:tc>
          <w:tcPr>
            <w:tcW w:w="2354" w:type="dxa"/>
            <w:vAlign w:val="center"/>
          </w:tcPr>
          <w:p w14:paraId="2CE4EB8F">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通过本课程的学习，掌握美学及医学美学的基础知识，基本理论及临床应用，了解口腔相关临床学科中的常用方法，口腔常见病诊治中的美学原则</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学会用医学手段与美学手段相结合来直接维护、修复和塑造口腔颜面部的形态美</w:t>
            </w:r>
          </w:p>
        </w:tc>
        <w:tc>
          <w:tcPr>
            <w:tcW w:w="2374" w:type="dxa"/>
            <w:vAlign w:val="center"/>
          </w:tcPr>
          <w:p w14:paraId="5F13ECD8">
            <w:pPr>
              <w:keepNext w:val="0"/>
              <w:keepLines w:val="0"/>
              <w:pageBreakBefore w:val="0"/>
              <w:widowControl/>
              <w:kinsoku/>
              <w:wordWrap/>
              <w:overflowPunct w:val="0"/>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美学基础；口腔医学美学基础；口腔摄影；口腔美学修复；口腔修复体仿真制作；牙周治疗技术在口腔医学美学中的应用；椅旁牙体美学修复；牙合畸形的美容正畸；口腔颌面美容外科；口腔美学保健等</w:t>
            </w:r>
          </w:p>
        </w:tc>
        <w:tc>
          <w:tcPr>
            <w:tcW w:w="3307" w:type="dxa"/>
            <w:vAlign w:val="center"/>
          </w:tcPr>
          <w:p w14:paraId="2FAE5D7C">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default" w:ascii="Times New Roman" w:hAnsi="Times New Roman" w:eastAsia="楷体" w:cs="Times New Roman"/>
                <w:color w:val="auto"/>
                <w:sz w:val="20"/>
                <w:szCs w:val="20"/>
              </w:rPr>
            </w:pPr>
            <w:r>
              <w:rPr>
                <w:rFonts w:hint="default" w:ascii="Times New Roman" w:hAnsi="Times New Roman" w:eastAsia="楷体" w:cs="Times New Roman"/>
                <w:color w:val="auto"/>
                <w:sz w:val="20"/>
                <w:szCs w:val="20"/>
              </w:rPr>
              <w:t>以课堂理论教学和实践教学为主，培养学生的美学素质，提升学生的美学境界，探讨美学原理及其规律。培养学生勤奋、严道求实和认真负责的工作态度，注重素质教育，提高学生爱岗敬业、</w:t>
            </w:r>
            <w:r>
              <w:rPr>
                <w:rFonts w:hint="eastAsia" w:ascii="Times New Roman" w:hAnsi="Times New Roman" w:eastAsia="楷体" w:cs="Times New Roman"/>
                <w:color w:val="auto"/>
                <w:sz w:val="20"/>
                <w:szCs w:val="20"/>
                <w:lang w:eastAsia="zh-CN"/>
              </w:rPr>
              <w:t>全心全意为人民服务</w:t>
            </w:r>
            <w:r>
              <w:rPr>
                <w:rFonts w:hint="default" w:ascii="Times New Roman" w:hAnsi="Times New Roman" w:eastAsia="楷体" w:cs="Times New Roman"/>
                <w:color w:val="auto"/>
                <w:sz w:val="20"/>
                <w:szCs w:val="20"/>
              </w:rPr>
              <w:t>的职业道德</w:t>
            </w:r>
          </w:p>
        </w:tc>
      </w:tr>
      <w:tr w14:paraId="4379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22BE72FD">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lang w:val="en-US" w:eastAsia="zh-CN" w:bidi="ar-SA"/>
              </w:rPr>
            </w:pPr>
            <w:r>
              <w:rPr>
                <w:rFonts w:hint="default" w:ascii="Times New Roman" w:hAnsi="Times New Roman" w:eastAsia="楷体" w:cs="Times New Roman"/>
                <w:color w:val="auto"/>
                <w:sz w:val="20"/>
                <w:szCs w:val="20"/>
                <w:lang w:val="en-US" w:eastAsia="zh-CN"/>
              </w:rPr>
              <w:t>4</w:t>
            </w:r>
          </w:p>
        </w:tc>
        <w:tc>
          <w:tcPr>
            <w:tcW w:w="1065" w:type="dxa"/>
            <w:shd w:val="clear" w:color="auto" w:fill="auto"/>
            <w:vAlign w:val="center"/>
          </w:tcPr>
          <w:p w14:paraId="25124A58">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口腔数字化技术</w:t>
            </w:r>
          </w:p>
        </w:tc>
        <w:tc>
          <w:tcPr>
            <w:tcW w:w="2354" w:type="dxa"/>
            <w:shd w:val="clear" w:color="auto" w:fill="auto"/>
            <w:vAlign w:val="top"/>
          </w:tcPr>
          <w:p w14:paraId="4640853F">
            <w:pPr>
              <w:keepNext w:val="0"/>
              <w:keepLines w:val="0"/>
              <w:pageBreakBefore w:val="0"/>
              <w:widowControl/>
              <w:tabs>
                <w:tab w:val="left" w:pos="536"/>
              </w:tabs>
              <w:kinsoku/>
              <w:wordWrap/>
              <w:overflowPunct w:val="0"/>
              <w:topLinePunct w:val="0"/>
              <w:autoSpaceDE w:val="0"/>
              <w:autoSpaceDN w:val="0"/>
              <w:bidi w:val="0"/>
              <w:adjustRightInd w:val="0"/>
              <w:snapToGrid w:val="0"/>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通过本课程的学习，要求学生</w:t>
            </w:r>
            <w:r>
              <w:rPr>
                <w:rFonts w:hint="eastAsia" w:ascii="Times New Roman" w:hAnsi="Times New Roman" w:eastAsia="楷体" w:cs="Times New Roman"/>
                <w:color w:val="auto"/>
                <w:sz w:val="20"/>
                <w:szCs w:val="20"/>
                <w:lang w:eastAsia="zh-CN"/>
              </w:rPr>
              <w:t>掌握</w:t>
            </w:r>
            <w:r>
              <w:rPr>
                <w:rFonts w:hint="default" w:ascii="Times New Roman" w:hAnsi="Times New Roman" w:eastAsia="楷体" w:cs="Times New Roman"/>
                <w:color w:val="auto"/>
                <w:sz w:val="20"/>
                <w:szCs w:val="20"/>
              </w:rPr>
              <w:t>口腔数字化技术基础理论、口腔数字化扫描工艺技术、口腔数字化设计工艺技术；熟悉口腔数字化制造工艺技术；了解义齿制造技术发展史及口腔数字化技术应用材料</w:t>
            </w:r>
          </w:p>
        </w:tc>
        <w:tc>
          <w:tcPr>
            <w:tcW w:w="2374" w:type="dxa"/>
            <w:shd w:val="clear" w:color="auto" w:fill="auto"/>
            <w:vAlign w:val="top"/>
          </w:tcPr>
          <w:p w14:paraId="373377D3">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数字化影像；数字化印模；直接数字化制造；牙体缺损的数字化应用；数字化口腔固定修复；数字化种植手术；牙髓病学中的数字化应用；虚拟患者；数字化在口腔颌面外科中的应用等</w:t>
            </w:r>
          </w:p>
        </w:tc>
        <w:tc>
          <w:tcPr>
            <w:tcW w:w="3307" w:type="dxa"/>
            <w:shd w:val="clear" w:color="auto" w:fill="auto"/>
            <w:vAlign w:val="top"/>
          </w:tcPr>
          <w:p w14:paraId="393DC787">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以课堂理论教学和实践教学为主，能根据要求完成数字化一系列的创建订单，模型扫描，常见修复体（单冠、固定桥等）设计，染色、烧结、形态修整和各修复体质量检验的任务；具备从事固定义齿制作各岗位所需要的工作方法及学习方法，要注重完成学习、完成工作，以养成科学的思维习惯；养成勤学好问、 认真求实的学习作风，积极实战、 精益求精的职业素质，并能够</w:t>
            </w:r>
            <w:r>
              <w:rPr>
                <w:rFonts w:hint="eastAsia" w:ascii="Times New Roman" w:hAnsi="Times New Roman" w:eastAsia="楷体" w:cs="Times New Roman"/>
                <w:color w:val="auto"/>
                <w:sz w:val="20"/>
                <w:szCs w:val="20"/>
                <w:lang w:eastAsia="zh-CN"/>
              </w:rPr>
              <w:t>细</w:t>
            </w:r>
            <w:r>
              <w:rPr>
                <w:rFonts w:hint="default" w:ascii="Times New Roman" w:hAnsi="Times New Roman" w:eastAsia="楷体" w:cs="Times New Roman"/>
                <w:color w:val="auto"/>
                <w:sz w:val="20"/>
                <w:szCs w:val="20"/>
              </w:rPr>
              <w:t>心观察、善于分析的职业素养</w:t>
            </w:r>
          </w:p>
        </w:tc>
      </w:tr>
      <w:tr w14:paraId="2FEF2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4882FF5B">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lang w:val="en-US" w:eastAsia="zh-CN" w:bidi="ar-SA"/>
              </w:rPr>
            </w:pPr>
            <w:r>
              <w:rPr>
                <w:rFonts w:hint="default" w:ascii="Times New Roman" w:hAnsi="Times New Roman" w:eastAsia="楷体" w:cs="Times New Roman"/>
                <w:color w:val="auto"/>
                <w:sz w:val="20"/>
                <w:szCs w:val="20"/>
                <w:lang w:val="en-US" w:eastAsia="zh-CN"/>
              </w:rPr>
              <w:t>5</w:t>
            </w:r>
          </w:p>
        </w:tc>
        <w:tc>
          <w:tcPr>
            <w:tcW w:w="1065" w:type="dxa"/>
            <w:shd w:val="clear" w:color="auto" w:fill="auto"/>
            <w:vAlign w:val="center"/>
          </w:tcPr>
          <w:p w14:paraId="595F306A">
            <w:pPr>
              <w:keepNext w:val="0"/>
              <w:keepLines w:val="0"/>
              <w:pageBreakBefore w:val="0"/>
              <w:widowControl/>
              <w:kinsoku/>
              <w:wordWrap/>
              <w:topLinePunct w:val="0"/>
              <w:autoSpaceDE w:val="0"/>
              <w:autoSpaceDN w:val="0"/>
              <w:bidi w:val="0"/>
              <w:adjustRightInd w:val="0"/>
              <w:snapToGrid w:val="0"/>
              <w:spacing w:line="300" w:lineRule="exact"/>
              <w:jc w:val="center"/>
              <w:textAlignment w:val="baseline"/>
              <w:rPr>
                <w:rFonts w:hint="default" w:ascii="Times New Roman" w:hAnsi="Times New Roman" w:eastAsia="楷体" w:cs="Times New Roman"/>
                <w:snapToGrid w:val="0"/>
                <w:color w:val="auto"/>
                <w:kern w:val="2"/>
                <w:sz w:val="20"/>
                <w:szCs w:val="20"/>
                <w:lang w:val="en-US" w:eastAsia="zh-CN" w:bidi="ar-SA"/>
              </w:rPr>
            </w:pPr>
            <w:r>
              <w:rPr>
                <w:rFonts w:hint="default" w:ascii="Times New Roman" w:hAnsi="Times New Roman" w:eastAsia="楷体" w:cs="Times New Roman"/>
                <w:color w:val="auto"/>
                <w:sz w:val="20"/>
                <w:szCs w:val="20"/>
                <w:lang w:val="en-US" w:eastAsia="zh-CN"/>
              </w:rPr>
              <w:t>口腔护理技术</w:t>
            </w:r>
          </w:p>
        </w:tc>
        <w:tc>
          <w:tcPr>
            <w:tcW w:w="2354" w:type="dxa"/>
            <w:shd w:val="clear" w:color="auto" w:fill="auto"/>
            <w:vAlign w:val="center"/>
          </w:tcPr>
          <w:p w14:paraId="53ECF986">
            <w:pPr>
              <w:keepNext w:val="0"/>
              <w:keepLines w:val="0"/>
              <w:pageBreakBefore w:val="0"/>
              <w:widowControl/>
              <w:kinsoku/>
              <w:wordWrap/>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lang w:eastAsia="zh-CN"/>
              </w:rPr>
            </w:pPr>
            <w:r>
              <w:rPr>
                <w:rFonts w:hint="default" w:ascii="Times New Roman" w:hAnsi="Times New Roman" w:eastAsia="楷体" w:cs="Times New Roman"/>
                <w:color w:val="auto"/>
                <w:sz w:val="20"/>
                <w:szCs w:val="20"/>
                <w:lang w:val="en-US" w:eastAsia="zh-CN"/>
              </w:rPr>
              <w:t>1.</w:t>
            </w:r>
            <w:r>
              <w:rPr>
                <w:rFonts w:hint="default" w:ascii="Times New Roman" w:hAnsi="Times New Roman" w:eastAsia="楷体" w:cs="Times New Roman"/>
                <w:color w:val="auto"/>
                <w:sz w:val="20"/>
                <w:szCs w:val="20"/>
              </w:rPr>
              <w:t>能准确</w:t>
            </w:r>
            <w:r>
              <w:rPr>
                <w:rFonts w:hint="default" w:ascii="Times New Roman" w:hAnsi="Times New Roman" w:eastAsia="楷体" w:cs="Times New Roman"/>
                <w:color w:val="auto"/>
                <w:sz w:val="20"/>
                <w:szCs w:val="20"/>
                <w:lang w:val="en-US" w:eastAsia="zh-CN"/>
              </w:rPr>
              <w:t>掌握</w:t>
            </w:r>
            <w:r>
              <w:rPr>
                <w:rFonts w:hint="default" w:ascii="Times New Roman" w:hAnsi="Times New Roman" w:eastAsia="楷体" w:cs="Times New Roman"/>
                <w:color w:val="auto"/>
                <w:sz w:val="20"/>
                <w:szCs w:val="20"/>
              </w:rPr>
              <w:t>特殊口腔护理的目的、适应症、注意事项</w:t>
            </w:r>
            <w:r>
              <w:rPr>
                <w:rFonts w:hint="eastAsia" w:ascii="Times New Roman" w:hAnsi="Times New Roman" w:eastAsia="楷体" w:cs="Times New Roman"/>
                <w:color w:val="auto"/>
                <w:sz w:val="20"/>
                <w:szCs w:val="20"/>
                <w:lang w:eastAsia="zh-CN"/>
              </w:rPr>
              <w:t>；</w:t>
            </w:r>
          </w:p>
          <w:p w14:paraId="242D5298">
            <w:pPr>
              <w:keepNext w:val="0"/>
              <w:keepLines w:val="0"/>
              <w:pageBreakBefore w:val="0"/>
              <w:widowControl/>
              <w:kinsoku/>
              <w:wordWrap/>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color w:val="auto"/>
                <w:sz w:val="20"/>
                <w:szCs w:val="20"/>
                <w:lang w:eastAsia="zh-CN"/>
              </w:rPr>
            </w:pPr>
            <w:r>
              <w:rPr>
                <w:rFonts w:hint="default" w:ascii="Times New Roman" w:hAnsi="Times New Roman" w:eastAsia="楷体" w:cs="Times New Roman"/>
                <w:color w:val="auto"/>
                <w:sz w:val="20"/>
                <w:szCs w:val="20"/>
                <w:lang w:val="en-US" w:eastAsia="zh-CN"/>
              </w:rPr>
              <w:t>2.</w:t>
            </w:r>
            <w:r>
              <w:rPr>
                <w:rFonts w:hint="default" w:ascii="Times New Roman" w:hAnsi="Times New Roman" w:eastAsia="楷体" w:cs="Times New Roman"/>
                <w:color w:val="auto"/>
                <w:sz w:val="20"/>
                <w:szCs w:val="20"/>
              </w:rPr>
              <w:t>能正确评估患者情况，并根据评估结果准备用物；能按护理程序要求，熟练进行特殊口腔护理的操作</w:t>
            </w:r>
            <w:r>
              <w:rPr>
                <w:rFonts w:hint="eastAsia" w:ascii="Times New Roman" w:hAnsi="Times New Roman" w:eastAsia="楷体" w:cs="Times New Roman"/>
                <w:color w:val="auto"/>
                <w:sz w:val="20"/>
                <w:szCs w:val="20"/>
                <w:lang w:eastAsia="zh-CN"/>
              </w:rPr>
              <w:t>；</w:t>
            </w:r>
          </w:p>
          <w:p w14:paraId="65FE91E2">
            <w:pPr>
              <w:keepNext w:val="0"/>
              <w:keepLines w:val="0"/>
              <w:pageBreakBefore w:val="0"/>
              <w:widowControl/>
              <w:kinsoku/>
              <w:wordWrap/>
              <w:topLinePunct w:val="0"/>
              <w:autoSpaceDE w:val="0"/>
              <w:autoSpaceDN w:val="0"/>
              <w:bidi w:val="0"/>
              <w:adjustRightInd w:val="0"/>
              <w:snapToGrid w:val="0"/>
              <w:spacing w:line="300" w:lineRule="exact"/>
              <w:jc w:val="left"/>
              <w:textAlignment w:val="baseline"/>
              <w:rPr>
                <w:rFonts w:hint="default" w:ascii="Times New Roman" w:hAnsi="Times New Roman" w:eastAsia="楷体" w:cs="Times New Roman"/>
                <w:snapToGrid w:val="0"/>
                <w:color w:val="auto"/>
                <w:kern w:val="2"/>
                <w:sz w:val="20"/>
                <w:szCs w:val="20"/>
                <w:lang w:val="en-US" w:eastAsia="zh-CN" w:bidi="ar-SA"/>
              </w:rPr>
            </w:pPr>
            <w:r>
              <w:rPr>
                <w:rFonts w:hint="default" w:ascii="Times New Roman" w:hAnsi="Times New Roman" w:eastAsia="楷体" w:cs="Times New Roman"/>
                <w:color w:val="auto"/>
                <w:sz w:val="20"/>
                <w:szCs w:val="20"/>
                <w:lang w:val="en-US" w:eastAsia="zh-CN"/>
              </w:rPr>
              <w:t>3.培养学生在</w:t>
            </w:r>
            <w:r>
              <w:rPr>
                <w:rFonts w:hint="default" w:ascii="Times New Roman" w:hAnsi="Times New Roman" w:eastAsia="楷体" w:cs="Times New Roman"/>
                <w:color w:val="auto"/>
                <w:sz w:val="20"/>
                <w:szCs w:val="20"/>
              </w:rPr>
              <w:t>操作中能建立关爱患者的观念</w:t>
            </w:r>
            <w:r>
              <w:rPr>
                <w:rFonts w:hint="default"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能与患者有效沟通</w:t>
            </w:r>
          </w:p>
        </w:tc>
        <w:tc>
          <w:tcPr>
            <w:tcW w:w="2374" w:type="dxa"/>
            <w:shd w:val="clear" w:color="auto" w:fill="auto"/>
            <w:vAlign w:val="center"/>
          </w:tcPr>
          <w:p w14:paraId="665578C2">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snapToGrid w:val="0"/>
                <w:color w:val="auto"/>
                <w:kern w:val="2"/>
                <w:sz w:val="20"/>
                <w:szCs w:val="20"/>
                <w:lang w:val="en-US" w:eastAsia="zh-CN" w:bidi="ar-SA"/>
              </w:rPr>
            </w:pPr>
            <w:r>
              <w:rPr>
                <w:rFonts w:hint="default" w:ascii="Times New Roman" w:hAnsi="Times New Roman" w:eastAsia="楷体" w:cs="Times New Roman"/>
                <w:color w:val="auto"/>
                <w:sz w:val="20"/>
                <w:szCs w:val="20"/>
              </w:rPr>
              <w:t>口腔内科病人的临床护理；口腔外科病人的护理；口腔修复病人的护理；口腔正畸病人的护理；口腔种植病人的护理；儿童牙病病人的护理；口腔预防保健等</w:t>
            </w:r>
          </w:p>
        </w:tc>
        <w:tc>
          <w:tcPr>
            <w:tcW w:w="3307" w:type="dxa"/>
            <w:shd w:val="clear" w:color="auto" w:fill="auto"/>
            <w:vAlign w:val="top"/>
          </w:tcPr>
          <w:p w14:paraId="0B22A80D">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snapToGrid w:val="0"/>
                <w:color w:val="auto"/>
                <w:kern w:val="0"/>
                <w:sz w:val="20"/>
                <w:szCs w:val="20"/>
                <w:lang w:val="en-US" w:eastAsia="zh-CN" w:bidi="ar-SA"/>
              </w:rPr>
            </w:pPr>
            <w:r>
              <w:rPr>
                <w:rFonts w:hint="default" w:ascii="Times New Roman" w:hAnsi="Times New Roman" w:eastAsia="楷体" w:cs="Times New Roman"/>
                <w:color w:val="auto"/>
                <w:sz w:val="20"/>
                <w:szCs w:val="20"/>
              </w:rPr>
              <w:t>以实践教学为主，教师通过</w:t>
            </w:r>
            <w:r>
              <w:rPr>
                <w:rFonts w:hint="default" w:ascii="Times New Roman" w:hAnsi="Times New Roman" w:eastAsia="楷体" w:cs="Times New Roman"/>
                <w:color w:val="auto"/>
                <w:sz w:val="20"/>
                <w:szCs w:val="20"/>
                <w:lang w:val="en-US" w:eastAsia="zh-CN"/>
              </w:rPr>
              <w:t>对</w:t>
            </w:r>
            <w:r>
              <w:rPr>
                <w:rFonts w:hint="default" w:ascii="Times New Roman" w:hAnsi="Times New Roman" w:eastAsia="楷体" w:cs="Times New Roman"/>
                <w:color w:val="auto"/>
                <w:sz w:val="20"/>
                <w:szCs w:val="20"/>
              </w:rPr>
              <w:t>口腔疾病的临床表现、护理干预及治疗流程的</w:t>
            </w:r>
            <w:r>
              <w:rPr>
                <w:rFonts w:hint="default" w:ascii="Times New Roman" w:hAnsi="Times New Roman" w:eastAsia="楷体" w:cs="Times New Roman"/>
                <w:color w:val="auto"/>
                <w:sz w:val="20"/>
                <w:szCs w:val="20"/>
                <w:lang w:val="en-US" w:eastAsia="zh-CN"/>
              </w:rPr>
              <w:t>教授</w:t>
            </w:r>
            <w:r>
              <w:rPr>
                <w:rFonts w:hint="default" w:ascii="Times New Roman" w:hAnsi="Times New Roman" w:eastAsia="楷体" w:cs="Times New Roman"/>
                <w:color w:val="auto"/>
                <w:sz w:val="20"/>
                <w:szCs w:val="20"/>
              </w:rPr>
              <w:t>，</w:t>
            </w:r>
            <w:r>
              <w:rPr>
                <w:rFonts w:hint="default" w:ascii="Times New Roman" w:hAnsi="Times New Roman" w:eastAsia="楷体" w:cs="Times New Roman"/>
                <w:color w:val="auto"/>
                <w:sz w:val="20"/>
                <w:szCs w:val="20"/>
                <w:lang w:val="en-US" w:eastAsia="zh-CN"/>
              </w:rPr>
              <w:t>培养学生临床操作配合医师的能力</w:t>
            </w:r>
            <w:r>
              <w:rPr>
                <w:rFonts w:hint="default" w:ascii="Times New Roman" w:hAnsi="Times New Roman" w:eastAsia="楷体" w:cs="Times New Roman"/>
                <w:color w:val="auto"/>
                <w:sz w:val="20"/>
                <w:szCs w:val="20"/>
              </w:rPr>
              <w:t>，</w:t>
            </w:r>
            <w:r>
              <w:rPr>
                <w:rFonts w:hint="default" w:ascii="Times New Roman" w:hAnsi="Times New Roman" w:eastAsia="楷体" w:cs="Times New Roman"/>
                <w:color w:val="auto"/>
                <w:sz w:val="20"/>
                <w:szCs w:val="20"/>
                <w:lang w:val="en-US" w:eastAsia="zh-CN"/>
              </w:rPr>
              <w:t>实训课程</w:t>
            </w:r>
            <w:r>
              <w:rPr>
                <w:rFonts w:hint="default" w:ascii="Times New Roman" w:hAnsi="Times New Roman" w:eastAsia="楷体" w:cs="Times New Roman"/>
                <w:color w:val="auto"/>
                <w:sz w:val="20"/>
                <w:szCs w:val="20"/>
              </w:rPr>
              <w:t>注重临床实操技能训练包括四手操作、感染控制、患者沟通及急救技能，结合案例分析、模拟实训与临床实习，提升学生解决实际问题的能力，同时融入医学伦理与职业素养教育，要求学生通过理论考核、技能操作评估及临床实践综合评价，确保其具备规范、安全、高效的口腔临床护理服务能力</w:t>
            </w:r>
            <w:r>
              <w:rPr>
                <w:rFonts w:hint="default" w:ascii="Times New Roman" w:hAnsi="Times New Roman" w:eastAsia="楷体" w:cs="Times New Roman"/>
                <w:color w:val="auto"/>
                <w:sz w:val="20"/>
                <w:szCs w:val="20"/>
                <w:lang w:eastAsia="zh-CN"/>
              </w:rPr>
              <w:t>。</w:t>
            </w:r>
          </w:p>
        </w:tc>
      </w:tr>
      <w:tr w14:paraId="612F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38EFFCA4">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lang w:val="en-US" w:eastAsia="zh-CN" w:bidi="ar-SA"/>
              </w:rPr>
            </w:pPr>
            <w:r>
              <w:rPr>
                <w:rFonts w:hint="default" w:ascii="Times New Roman" w:hAnsi="Times New Roman" w:eastAsia="楷体" w:cs="Times New Roman"/>
                <w:color w:val="auto"/>
                <w:sz w:val="20"/>
                <w:szCs w:val="20"/>
                <w:lang w:val="en-US" w:eastAsia="zh-CN"/>
              </w:rPr>
              <w:t>6</w:t>
            </w:r>
          </w:p>
        </w:tc>
        <w:tc>
          <w:tcPr>
            <w:tcW w:w="1065" w:type="dxa"/>
            <w:shd w:val="clear" w:color="auto" w:fill="auto"/>
            <w:vAlign w:val="center"/>
          </w:tcPr>
          <w:p w14:paraId="6EF83F9D">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口腔设备学</w:t>
            </w:r>
          </w:p>
        </w:tc>
        <w:tc>
          <w:tcPr>
            <w:tcW w:w="2354" w:type="dxa"/>
            <w:shd w:val="clear" w:color="auto" w:fill="auto"/>
            <w:vAlign w:val="top"/>
          </w:tcPr>
          <w:p w14:paraId="187C9F40">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通过本课程的学习，掌握口腔综合治疗台、常用口腔临床设备、修复工艺设备、口腔医学图像成像设备、口腔消毒灭菌设备等基本概念、组成和使用说明</w:t>
            </w:r>
          </w:p>
        </w:tc>
        <w:tc>
          <w:tcPr>
            <w:tcW w:w="2374" w:type="dxa"/>
            <w:shd w:val="clear" w:color="auto" w:fill="auto"/>
            <w:vAlign w:val="top"/>
          </w:tcPr>
          <w:p w14:paraId="50B85FCA">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数字化口腔医疗设备；口腔设备管理；口腔医疗设备与医源性感染；口腔诊疗体位与操作姿势；口腔综合治疗台、口腔临床设备、修复工艺设备、口腔医学图像成像设备、口腔实验学设备、口腔消毒灭菌设备；口腔诊所的设计与装备等</w:t>
            </w:r>
          </w:p>
        </w:tc>
        <w:tc>
          <w:tcPr>
            <w:tcW w:w="3307" w:type="dxa"/>
            <w:shd w:val="clear" w:color="auto" w:fill="auto"/>
            <w:vAlign w:val="top"/>
          </w:tcPr>
          <w:p w14:paraId="138BAADD">
            <w:pPr>
              <w:keepNext w:val="0"/>
              <w:keepLines w:val="0"/>
              <w:pageBreakBefore w:val="0"/>
              <w:widowControl/>
              <w:tabs>
                <w:tab w:val="left" w:pos="536"/>
              </w:tabs>
              <w:kinsoku/>
              <w:wordWrap/>
              <w:overflowPunct w:val="0"/>
              <w:topLinePunct w:val="0"/>
              <w:autoSpaceDE w:val="0"/>
              <w:autoSpaceDN w:val="0"/>
              <w:bidi w:val="0"/>
              <w:adjustRightInd w:val="0"/>
              <w:snapToGrid w:val="0"/>
              <w:jc w:val="left"/>
              <w:textAlignment w:val="baseline"/>
              <w:rPr>
                <w:rFonts w:hint="default" w:ascii="Times New Roman" w:hAnsi="Times New Roman" w:eastAsia="楷体" w:cs="Times New Roman"/>
                <w:snapToGrid w:val="0"/>
                <w:color w:val="auto"/>
                <w:kern w:val="0"/>
                <w:sz w:val="20"/>
                <w:szCs w:val="20"/>
                <w:lang w:val="en-US" w:eastAsia="en-US" w:bidi="ar-SA"/>
              </w:rPr>
            </w:pPr>
            <w:r>
              <w:rPr>
                <w:rFonts w:hint="default" w:ascii="Times New Roman" w:hAnsi="Times New Roman" w:eastAsia="楷体" w:cs="Times New Roman"/>
                <w:color w:val="auto"/>
                <w:sz w:val="20"/>
                <w:szCs w:val="20"/>
              </w:rPr>
              <w:t>以课堂理论教学和实践教学为主，从临床应用角度，培养学生正确和有效使用相应仪器设备，用于诊断和治疗疾病的能力；对于常见故障，具有正确判断和初步维修的能力，建立起设备</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医疗</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感染</w:t>
            </w:r>
            <w:r>
              <w:rPr>
                <w:rFonts w:hint="eastAsia" w:ascii="Times New Roman" w:hAnsi="Times New Roman" w:eastAsia="楷体" w:cs="Times New Roman"/>
                <w:color w:val="auto"/>
                <w:sz w:val="20"/>
                <w:szCs w:val="20"/>
                <w:lang w:eastAsia="zh-CN"/>
              </w:rPr>
              <w:t>－</w:t>
            </w:r>
            <w:r>
              <w:rPr>
                <w:rFonts w:hint="default" w:ascii="Times New Roman" w:hAnsi="Times New Roman" w:eastAsia="楷体" w:cs="Times New Roman"/>
                <w:color w:val="auto"/>
                <w:sz w:val="20"/>
                <w:szCs w:val="20"/>
              </w:rPr>
              <w:t>管理一体的观念以及设备购置、</w:t>
            </w:r>
            <w:r>
              <w:rPr>
                <w:rFonts w:hint="eastAsia" w:ascii="Times New Roman" w:hAnsi="Times New Roman" w:eastAsia="楷体" w:cs="Times New Roman"/>
                <w:color w:val="auto"/>
                <w:sz w:val="20"/>
                <w:szCs w:val="20"/>
                <w:lang w:eastAsia="zh-CN"/>
              </w:rPr>
              <w:t>使用</w:t>
            </w:r>
            <w:r>
              <w:rPr>
                <w:rFonts w:hint="default" w:ascii="Times New Roman" w:hAnsi="Times New Roman" w:eastAsia="楷体" w:cs="Times New Roman"/>
                <w:color w:val="auto"/>
                <w:sz w:val="20"/>
                <w:szCs w:val="20"/>
              </w:rPr>
              <w:t>维护管理的思维模式，提升自主学习和终身学习的意识</w:t>
            </w:r>
          </w:p>
        </w:tc>
      </w:tr>
      <w:tr w14:paraId="0459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14A026E6">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highlight w:val="none"/>
                <w:lang w:val="en-US" w:eastAsia="zh-CN" w:bidi="ar-SA"/>
              </w:rPr>
            </w:pPr>
            <w:r>
              <w:rPr>
                <w:rFonts w:hint="default" w:ascii="Times New Roman" w:hAnsi="Times New Roman" w:eastAsia="楷体" w:cs="Times New Roman"/>
                <w:color w:val="auto"/>
                <w:sz w:val="20"/>
                <w:szCs w:val="20"/>
                <w:highlight w:val="none"/>
                <w:lang w:val="en-US" w:eastAsia="zh-CN"/>
              </w:rPr>
              <w:t>7</w:t>
            </w:r>
          </w:p>
        </w:tc>
        <w:tc>
          <w:tcPr>
            <w:tcW w:w="1065" w:type="dxa"/>
            <w:shd w:val="clear" w:color="auto" w:fill="auto"/>
            <w:vAlign w:val="center"/>
          </w:tcPr>
          <w:p w14:paraId="27854AA0">
            <w:pPr>
              <w:keepNext w:val="0"/>
              <w:keepLines w:val="0"/>
              <w:pageBreakBefore w:val="0"/>
              <w:widowControl/>
              <w:tabs>
                <w:tab w:val="left" w:pos="536"/>
              </w:tabs>
              <w:kinsoku/>
              <w:wordWrap/>
              <w:overflowPunct w:val="0"/>
              <w:topLinePunct w:val="0"/>
              <w:autoSpaceDE w:val="0"/>
              <w:autoSpaceDN w:val="0"/>
              <w:bidi w:val="0"/>
              <w:adjustRightInd w:val="0"/>
              <w:snapToGrid w:val="0"/>
              <w:jc w:val="both"/>
              <w:textAlignment w:val="baseline"/>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临床技能综合实训</w:t>
            </w:r>
          </w:p>
        </w:tc>
        <w:tc>
          <w:tcPr>
            <w:tcW w:w="2354" w:type="dxa"/>
            <w:shd w:val="clear" w:color="auto" w:fill="auto"/>
            <w:vAlign w:val="top"/>
          </w:tcPr>
          <w:p w14:paraId="6FEEC112">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snapToGrid w:val="0"/>
                <w:color w:val="auto"/>
                <w:kern w:val="0"/>
                <w:sz w:val="20"/>
                <w:szCs w:val="20"/>
                <w:highlight w:val="none"/>
                <w:lang w:val="en-US" w:eastAsia="en-US" w:bidi="ar-SA"/>
              </w:rPr>
            </w:pPr>
            <w:r>
              <w:rPr>
                <w:rFonts w:hint="default" w:ascii="Times New Roman" w:hAnsi="Times New Roman" w:eastAsia="楷体" w:cs="Times New Roman"/>
                <w:color w:val="auto"/>
                <w:sz w:val="20"/>
                <w:szCs w:val="20"/>
                <w:highlight w:val="none"/>
              </w:rPr>
              <w:t>通过教学使学生具备独立诊治患者的能力。主要掌握口腔临床操作床问答，学生要熟知学科领域理论知识，</w:t>
            </w:r>
            <w:r>
              <w:rPr>
                <w:rFonts w:hint="eastAsia" w:ascii="Times New Roman" w:hAnsi="Times New Roman" w:eastAsia="楷体" w:cs="Times New Roman"/>
                <w:color w:val="auto"/>
                <w:sz w:val="20"/>
                <w:szCs w:val="20"/>
                <w:highlight w:val="none"/>
                <w:lang w:eastAsia="zh-CN"/>
              </w:rPr>
              <w:t>熟练掌握</w:t>
            </w:r>
            <w:r>
              <w:rPr>
                <w:rFonts w:hint="default" w:ascii="Times New Roman" w:hAnsi="Times New Roman" w:eastAsia="楷体" w:cs="Times New Roman"/>
                <w:color w:val="auto"/>
                <w:sz w:val="20"/>
                <w:szCs w:val="20"/>
                <w:highlight w:val="none"/>
              </w:rPr>
              <w:t>相关技术，规范操作临床实践，能够诊断、治疗和预防口腔疾病的发生发展</w:t>
            </w:r>
            <w:r>
              <w:rPr>
                <w:rFonts w:hint="eastAsia" w:ascii="Times New Roman" w:hAnsi="Times New Roman" w:eastAsia="楷体" w:cs="Times New Roman"/>
                <w:color w:val="auto"/>
                <w:sz w:val="20"/>
                <w:szCs w:val="20"/>
                <w:highlight w:val="none"/>
                <w:lang w:eastAsia="zh-CN"/>
              </w:rPr>
              <w:t>；</w:t>
            </w:r>
            <w:r>
              <w:rPr>
                <w:rFonts w:hint="default" w:ascii="Times New Roman" w:hAnsi="Times New Roman" w:eastAsia="楷体" w:cs="Times New Roman"/>
                <w:color w:val="auto"/>
                <w:sz w:val="20"/>
                <w:szCs w:val="20"/>
                <w:highlight w:val="none"/>
              </w:rPr>
              <w:t>通过理论学习和临床实践，进行口腔医学知识和临床技能的基础培训，提高学生对口腔各类常见疾病的认识，使之掌握口腔科常见疾病的诊治原则和操作技能，</w:t>
            </w:r>
            <w:r>
              <w:rPr>
                <w:rFonts w:hint="eastAsia" w:ascii="Times New Roman" w:hAnsi="Times New Roman" w:eastAsia="楷体" w:cs="Times New Roman"/>
                <w:color w:val="auto"/>
                <w:sz w:val="20"/>
                <w:szCs w:val="20"/>
                <w:highlight w:val="none"/>
                <w:lang w:eastAsia="zh-CN"/>
              </w:rPr>
              <w:t>成为</w:t>
            </w:r>
            <w:r>
              <w:rPr>
                <w:rFonts w:hint="default" w:ascii="Times New Roman" w:hAnsi="Times New Roman" w:eastAsia="楷体" w:cs="Times New Roman"/>
                <w:color w:val="auto"/>
                <w:sz w:val="20"/>
                <w:szCs w:val="20"/>
                <w:highlight w:val="none"/>
              </w:rPr>
              <w:t>胜任普通口腔科临床工作的口腔医学专门人才</w:t>
            </w:r>
          </w:p>
        </w:tc>
        <w:tc>
          <w:tcPr>
            <w:tcW w:w="2374" w:type="dxa"/>
            <w:shd w:val="clear" w:color="auto" w:fill="auto"/>
            <w:vAlign w:val="top"/>
          </w:tcPr>
          <w:p w14:paraId="5E5AF96F">
            <w:pPr>
              <w:keepNext w:val="0"/>
              <w:keepLines w:val="0"/>
              <w:pageBreakBefore w:val="0"/>
              <w:widowControl/>
              <w:tabs>
                <w:tab w:val="left" w:pos="536"/>
              </w:tabs>
              <w:kinsoku/>
              <w:wordWrap/>
              <w:overflowPunct w:val="0"/>
              <w:topLinePunct w:val="0"/>
              <w:autoSpaceDE w:val="0"/>
              <w:autoSpaceDN w:val="0"/>
              <w:bidi w:val="0"/>
              <w:adjustRightInd w:val="0"/>
              <w:snapToGrid w:val="0"/>
              <w:jc w:val="both"/>
              <w:textAlignment w:val="baseline"/>
              <w:rPr>
                <w:rFonts w:hint="default" w:ascii="Times New Roman" w:hAnsi="Times New Roman" w:eastAsia="楷体" w:cs="Times New Roman"/>
                <w:snapToGrid w:val="0"/>
                <w:color w:val="auto"/>
                <w:kern w:val="0"/>
                <w:sz w:val="20"/>
                <w:szCs w:val="20"/>
                <w:highlight w:val="none"/>
                <w:lang w:val="en-US" w:eastAsia="zh-CN" w:bidi="ar-SA"/>
              </w:rPr>
            </w:pPr>
            <w:r>
              <w:rPr>
                <w:rFonts w:hint="default" w:ascii="Times New Roman" w:hAnsi="Times New Roman" w:eastAsia="楷体" w:cs="Times New Roman"/>
                <w:color w:val="auto"/>
                <w:sz w:val="20"/>
                <w:szCs w:val="20"/>
                <w:highlight w:val="none"/>
                <w:lang w:val="en-US" w:eastAsia="zh-CN"/>
              </w:rPr>
              <w:t>临床常见口腔诊疗的基本操作流程、操作要点与操作注意事项</w:t>
            </w:r>
          </w:p>
        </w:tc>
        <w:tc>
          <w:tcPr>
            <w:tcW w:w="3307" w:type="dxa"/>
            <w:shd w:val="clear" w:color="auto" w:fill="auto"/>
            <w:vAlign w:val="top"/>
          </w:tcPr>
          <w:p w14:paraId="0AF09AAA">
            <w:pPr>
              <w:keepNext w:val="0"/>
              <w:keepLines w:val="0"/>
              <w:pageBreakBefore w:val="0"/>
              <w:widowControl/>
              <w:kinsoku/>
              <w:wordWrap/>
              <w:overflowPunct w:val="0"/>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以课堂</w:t>
            </w:r>
            <w:r>
              <w:rPr>
                <w:rFonts w:hint="default" w:ascii="Times New Roman" w:hAnsi="Times New Roman" w:eastAsia="楷体" w:cs="Times New Roman"/>
                <w:color w:val="auto"/>
                <w:sz w:val="20"/>
                <w:szCs w:val="20"/>
                <w:highlight w:val="none"/>
                <w:lang w:val="en-US" w:eastAsia="zh-CN"/>
              </w:rPr>
              <w:t>实训</w:t>
            </w:r>
            <w:r>
              <w:rPr>
                <w:rFonts w:hint="default" w:ascii="Times New Roman" w:hAnsi="Times New Roman" w:eastAsia="楷体" w:cs="Times New Roman"/>
                <w:color w:val="auto"/>
                <w:sz w:val="20"/>
                <w:szCs w:val="20"/>
                <w:highlight w:val="none"/>
              </w:rPr>
              <w:t>教学为主，帮助学生总结、梳理学习期间的主要课程内容及缺项、弱项，增强学生动手操作能力，加强岗位素质培训，提升就业能力，具备较好职业道德和创新意识，环保意识，工匠精神</w:t>
            </w:r>
          </w:p>
          <w:p w14:paraId="1E055BF4">
            <w:pPr>
              <w:keepNext w:val="0"/>
              <w:keepLines w:val="0"/>
              <w:pageBreakBefore w:val="0"/>
              <w:widowControl/>
              <w:tabs>
                <w:tab w:val="left" w:pos="536"/>
              </w:tabs>
              <w:kinsoku/>
              <w:wordWrap/>
              <w:overflowPunct w:val="0"/>
              <w:topLinePunct w:val="0"/>
              <w:autoSpaceDE w:val="0"/>
              <w:autoSpaceDN w:val="0"/>
              <w:bidi w:val="0"/>
              <w:adjustRightInd w:val="0"/>
              <w:snapToGrid w:val="0"/>
              <w:jc w:val="both"/>
              <w:textAlignment w:val="baseline"/>
              <w:rPr>
                <w:rFonts w:hint="default" w:ascii="Times New Roman" w:hAnsi="Times New Roman" w:eastAsia="楷体" w:cs="Times New Roman"/>
                <w:snapToGrid w:val="0"/>
                <w:color w:val="auto"/>
                <w:kern w:val="0"/>
                <w:sz w:val="20"/>
                <w:szCs w:val="20"/>
                <w:highlight w:val="none"/>
                <w:lang w:val="en-US" w:eastAsia="en-US" w:bidi="ar-SA"/>
              </w:rPr>
            </w:pPr>
          </w:p>
        </w:tc>
      </w:tr>
      <w:tr w14:paraId="2220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60053055">
            <w:pPr>
              <w:keepNext w:val="0"/>
              <w:keepLines w:val="0"/>
              <w:pageBreakBefore w:val="0"/>
              <w:widowControl/>
              <w:tabs>
                <w:tab w:val="left" w:pos="536"/>
              </w:tabs>
              <w:kinsoku/>
              <w:wordWrap/>
              <w:overflowPunct w:val="0"/>
              <w:topLinePunct w:val="0"/>
              <w:autoSpaceDE w:val="0"/>
              <w:autoSpaceDN w:val="0"/>
              <w:bidi w:val="0"/>
              <w:adjustRightInd w:val="0"/>
              <w:snapToGrid w:val="0"/>
              <w:jc w:val="center"/>
              <w:textAlignment w:val="baseline"/>
              <w:rPr>
                <w:rFonts w:hint="default" w:ascii="Times New Roman" w:hAnsi="Times New Roman" w:eastAsia="楷体" w:cs="Times New Roman"/>
                <w:snapToGrid w:val="0"/>
                <w:color w:val="auto"/>
                <w:kern w:val="0"/>
                <w:sz w:val="20"/>
                <w:szCs w:val="20"/>
                <w:lang w:val="en-US" w:eastAsia="zh-CN" w:bidi="ar-SA"/>
              </w:rPr>
            </w:pPr>
            <w:r>
              <w:rPr>
                <w:rFonts w:hint="default" w:ascii="Times New Roman" w:hAnsi="Times New Roman" w:eastAsia="楷体" w:cs="Times New Roman"/>
                <w:snapToGrid w:val="0"/>
                <w:color w:val="auto"/>
                <w:kern w:val="0"/>
                <w:sz w:val="20"/>
                <w:szCs w:val="20"/>
                <w:lang w:val="en-US" w:eastAsia="zh-CN" w:bidi="ar-SA"/>
              </w:rPr>
              <w:t>8</w:t>
            </w:r>
          </w:p>
        </w:tc>
        <w:tc>
          <w:tcPr>
            <w:tcW w:w="1065" w:type="dxa"/>
            <w:shd w:val="clear" w:color="auto" w:fill="auto"/>
            <w:vAlign w:val="center"/>
          </w:tcPr>
          <w:p w14:paraId="47C494F6">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color w:val="auto"/>
                <w:sz w:val="20"/>
                <w:szCs w:val="20"/>
                <w:highlight w:val="none"/>
                <w:lang w:val="en-US" w:eastAsia="en-US"/>
              </w:rPr>
            </w:pPr>
            <w:r>
              <w:rPr>
                <w:rFonts w:hint="default" w:ascii="Times New Roman" w:hAnsi="Times New Roman" w:eastAsia="楷体" w:cs="Times New Roman"/>
                <w:color w:val="auto"/>
                <w:sz w:val="20"/>
                <w:szCs w:val="20"/>
                <w:highlight w:val="none"/>
              </w:rPr>
              <w:t>口腔执业助理医师资格考试指导</w:t>
            </w:r>
          </w:p>
        </w:tc>
        <w:tc>
          <w:tcPr>
            <w:tcW w:w="2354" w:type="dxa"/>
            <w:shd w:val="clear" w:color="auto" w:fill="auto"/>
            <w:vAlign w:val="top"/>
          </w:tcPr>
          <w:p w14:paraId="2FCB9CE1">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color w:val="auto"/>
                <w:sz w:val="20"/>
                <w:szCs w:val="20"/>
                <w:highlight w:val="none"/>
                <w:lang w:val="en-US" w:eastAsia="en-US"/>
              </w:rPr>
            </w:pPr>
            <w:r>
              <w:rPr>
                <w:rFonts w:hint="default" w:ascii="Times New Roman" w:hAnsi="Times New Roman" w:eastAsia="楷体" w:cs="Times New Roman"/>
                <w:color w:val="auto"/>
                <w:sz w:val="20"/>
                <w:szCs w:val="20"/>
                <w:highlight w:val="none"/>
              </w:rPr>
              <w:t>通过教学使学生</w:t>
            </w:r>
            <w:r>
              <w:rPr>
                <w:rFonts w:hint="eastAsia" w:ascii="Times New Roman" w:hAnsi="Times New Roman" w:eastAsia="楷体" w:cs="Times New Roman"/>
                <w:color w:val="auto"/>
                <w:sz w:val="20"/>
                <w:szCs w:val="20"/>
                <w:highlight w:val="none"/>
                <w:lang w:eastAsia="zh-CN"/>
              </w:rPr>
              <w:t>具备</w:t>
            </w:r>
            <w:r>
              <w:rPr>
                <w:rFonts w:hint="default" w:ascii="Times New Roman" w:hAnsi="Times New Roman" w:eastAsia="楷体" w:cs="Times New Roman"/>
                <w:color w:val="auto"/>
                <w:sz w:val="20"/>
                <w:szCs w:val="20"/>
                <w:highlight w:val="none"/>
              </w:rPr>
              <w:t>独立诊治患者的能力。主要掌握口腔临床操作床问答，学生要熟知学科领域理论知识，</w:t>
            </w:r>
            <w:r>
              <w:rPr>
                <w:rFonts w:hint="eastAsia" w:ascii="Times New Roman" w:hAnsi="Times New Roman" w:eastAsia="楷体" w:cs="Times New Roman"/>
                <w:color w:val="auto"/>
                <w:sz w:val="20"/>
                <w:szCs w:val="20"/>
                <w:highlight w:val="none"/>
                <w:lang w:eastAsia="zh-CN"/>
              </w:rPr>
              <w:t>熟练掌握</w:t>
            </w:r>
            <w:r>
              <w:rPr>
                <w:rFonts w:hint="default" w:ascii="Times New Roman" w:hAnsi="Times New Roman" w:eastAsia="楷体" w:cs="Times New Roman"/>
                <w:color w:val="auto"/>
                <w:sz w:val="20"/>
                <w:szCs w:val="20"/>
                <w:highlight w:val="none"/>
              </w:rPr>
              <w:t>相关技术，规范操作临床实践，能够诊断、治疗和预防口腔疾病的发生发展</w:t>
            </w:r>
            <w:r>
              <w:rPr>
                <w:rFonts w:hint="eastAsia" w:ascii="Times New Roman" w:hAnsi="Times New Roman" w:eastAsia="楷体" w:cs="Times New Roman"/>
                <w:color w:val="auto"/>
                <w:sz w:val="20"/>
                <w:szCs w:val="20"/>
                <w:highlight w:val="none"/>
                <w:lang w:eastAsia="zh-CN"/>
              </w:rPr>
              <w:t>；</w:t>
            </w:r>
            <w:r>
              <w:rPr>
                <w:rFonts w:hint="default" w:ascii="Times New Roman" w:hAnsi="Times New Roman" w:eastAsia="楷体" w:cs="Times New Roman"/>
                <w:color w:val="auto"/>
                <w:sz w:val="20"/>
                <w:szCs w:val="20"/>
                <w:highlight w:val="none"/>
              </w:rPr>
              <w:t>通过理论学习和临床实践，进行口腔医学知识和临床技能的基础培训，提高学生对口腔各类常见疾病的认识，使之掌握口腔科常见疾病的诊治原则和操作技能，</w:t>
            </w:r>
            <w:r>
              <w:rPr>
                <w:rFonts w:hint="eastAsia" w:ascii="Times New Roman" w:hAnsi="Times New Roman" w:eastAsia="楷体" w:cs="Times New Roman"/>
                <w:color w:val="auto"/>
                <w:sz w:val="20"/>
                <w:szCs w:val="20"/>
                <w:highlight w:val="none"/>
                <w:lang w:eastAsia="zh-CN"/>
              </w:rPr>
              <w:t>成为</w:t>
            </w:r>
            <w:r>
              <w:rPr>
                <w:rFonts w:hint="default" w:ascii="Times New Roman" w:hAnsi="Times New Roman" w:eastAsia="楷体" w:cs="Times New Roman"/>
                <w:color w:val="auto"/>
                <w:sz w:val="20"/>
                <w:szCs w:val="20"/>
                <w:highlight w:val="none"/>
              </w:rPr>
              <w:t>胜任普通口腔科临床工作的口腔医学专门人才</w:t>
            </w:r>
          </w:p>
        </w:tc>
        <w:tc>
          <w:tcPr>
            <w:tcW w:w="2374" w:type="dxa"/>
            <w:shd w:val="clear" w:color="auto" w:fill="auto"/>
            <w:vAlign w:val="top"/>
          </w:tcPr>
          <w:p w14:paraId="65E10A54">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color w:val="auto"/>
                <w:sz w:val="20"/>
                <w:szCs w:val="20"/>
                <w:highlight w:val="none"/>
                <w:lang w:val="en-US" w:eastAsia="en-US"/>
              </w:rPr>
            </w:pPr>
            <w:r>
              <w:rPr>
                <w:rFonts w:hint="default" w:ascii="Times New Roman" w:hAnsi="Times New Roman" w:eastAsia="楷体" w:cs="Times New Roman"/>
                <w:color w:val="auto"/>
                <w:sz w:val="20"/>
                <w:szCs w:val="20"/>
                <w:highlight w:val="none"/>
              </w:rPr>
              <w:t>口腔助理医师资格证考试的考试要点、考试大纲和考试指南</w:t>
            </w:r>
          </w:p>
        </w:tc>
        <w:tc>
          <w:tcPr>
            <w:tcW w:w="3307" w:type="dxa"/>
            <w:shd w:val="clear" w:color="auto" w:fill="auto"/>
            <w:vAlign w:val="top"/>
          </w:tcPr>
          <w:p w14:paraId="2DB771A7">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color w:val="auto"/>
                <w:sz w:val="20"/>
                <w:szCs w:val="20"/>
                <w:highlight w:val="none"/>
              </w:rPr>
            </w:pPr>
            <w:r>
              <w:rPr>
                <w:rFonts w:hint="default" w:ascii="Times New Roman" w:hAnsi="Times New Roman" w:eastAsia="楷体" w:cs="Times New Roman"/>
                <w:color w:val="auto"/>
                <w:sz w:val="20"/>
                <w:szCs w:val="20"/>
                <w:highlight w:val="none"/>
              </w:rPr>
              <w:t>以课堂理论教学为主，帮助学生总结、梳理学习期间的主要课程内容及缺项、弱项，增强学生动手操作能力，加强岗位素质培训，提升就业能力，具备较好职业道德和创新意识，环保意识，工匠精神</w:t>
            </w:r>
          </w:p>
          <w:p w14:paraId="593E14BA">
            <w:pPr>
              <w:keepNext w:val="0"/>
              <w:keepLines w:val="0"/>
              <w:pageBreakBefore w:val="0"/>
              <w:widowControl/>
              <w:kinsoku/>
              <w:wordWrap/>
              <w:topLinePunct w:val="0"/>
              <w:autoSpaceDE w:val="0"/>
              <w:autoSpaceDN w:val="0"/>
              <w:bidi w:val="0"/>
              <w:adjustRightInd w:val="0"/>
              <w:snapToGrid w:val="0"/>
              <w:spacing w:line="300" w:lineRule="exact"/>
              <w:jc w:val="both"/>
              <w:textAlignment w:val="baseline"/>
              <w:rPr>
                <w:rFonts w:hint="default" w:ascii="Times New Roman" w:hAnsi="Times New Roman" w:eastAsia="楷体" w:cs="Times New Roman"/>
                <w:color w:val="auto"/>
                <w:sz w:val="20"/>
                <w:szCs w:val="20"/>
                <w:highlight w:val="none"/>
                <w:lang w:val="en-US" w:eastAsia="en-US"/>
              </w:rPr>
            </w:pPr>
          </w:p>
        </w:tc>
      </w:tr>
    </w:tbl>
    <w:p w14:paraId="6EB560AD">
      <w:pPr>
        <w:pStyle w:val="5"/>
        <w:keepNext w:val="0"/>
        <w:keepLines w:val="0"/>
        <w:pageBreakBefore w:val="0"/>
        <w:kinsoku/>
        <w:wordWrap/>
        <w:topLinePunct w:val="0"/>
        <w:bidi w:val="0"/>
        <w:spacing w:before="175" w:line="228" w:lineRule="auto"/>
        <w:ind w:left="1113"/>
        <w:rPr>
          <w:rFonts w:hint="default" w:ascii="Times New Roman" w:hAnsi="Times New Roman" w:cs="Times New Roman"/>
          <w:b/>
          <w:bCs/>
          <w:color w:val="auto"/>
          <w:spacing w:val="5"/>
        </w:rPr>
      </w:pPr>
    </w:p>
    <w:p w14:paraId="1C736F3D">
      <w:pPr>
        <w:pStyle w:val="2"/>
        <w:bidi w:val="0"/>
        <w:rPr>
          <w:rFonts w:hint="default" w:ascii="Times New Roman" w:hAnsi="Times New Roman" w:cs="Times New Roman"/>
        </w:rPr>
      </w:pPr>
      <w:bookmarkStart w:id="14" w:name="_Toc3766"/>
      <w:r>
        <w:rPr>
          <w:rFonts w:hint="default" w:ascii="Times New Roman" w:hAnsi="Times New Roman" w:cs="Times New Roman"/>
        </w:rPr>
        <w:t>七、教学进程总体安排</w:t>
      </w:r>
      <w:bookmarkEnd w:id="14"/>
    </w:p>
    <w:p w14:paraId="4889DB2D">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rPr>
      </w:pPr>
      <w:bookmarkStart w:id="15" w:name="_Toc17881"/>
      <w:r>
        <w:rPr>
          <w:rFonts w:hint="default" w:ascii="Times New Roman" w:hAnsi="Times New Roman" w:cs="Times New Roman"/>
          <w:b/>
          <w:bCs/>
          <w:color w:val="auto"/>
          <w:spacing w:val="4"/>
        </w:rPr>
        <w:t>（一）教学周数安排表</w:t>
      </w:r>
      <w:bookmarkEnd w:id="15"/>
    </w:p>
    <w:p w14:paraId="65386F80">
      <w:pPr>
        <w:keepNext w:val="0"/>
        <w:keepLines w:val="0"/>
        <w:pageBreakBefore w:val="0"/>
        <w:kinsoku/>
        <w:wordWrap/>
        <w:topLinePunct w:val="0"/>
        <w:bidi w:val="0"/>
        <w:spacing w:line="49" w:lineRule="auto"/>
        <w:rPr>
          <w:rFonts w:hint="default" w:ascii="Times New Roman" w:hAnsi="Times New Roman" w:cs="Times New Roman"/>
          <w:color w:val="auto"/>
          <w:sz w:val="2"/>
        </w:rPr>
      </w:pPr>
    </w:p>
    <w:tbl>
      <w:tblPr>
        <w:tblStyle w:val="11"/>
        <w:tblW w:w="80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938"/>
        <w:gridCol w:w="738"/>
        <w:gridCol w:w="942"/>
        <w:gridCol w:w="743"/>
        <w:gridCol w:w="841"/>
        <w:gridCol w:w="1113"/>
        <w:gridCol w:w="879"/>
        <w:gridCol w:w="884"/>
      </w:tblGrid>
      <w:tr w14:paraId="3BA09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14:paraId="7A7908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学年</w:t>
            </w:r>
          </w:p>
        </w:tc>
        <w:tc>
          <w:tcPr>
            <w:tcW w:w="938" w:type="dxa"/>
            <w:tcBorders>
              <w:top w:val="single" w:color="auto" w:sz="4" w:space="0"/>
              <w:left w:val="single" w:color="auto" w:sz="4" w:space="0"/>
              <w:bottom w:val="single" w:color="auto" w:sz="4" w:space="0"/>
              <w:right w:val="single" w:color="auto" w:sz="4" w:space="0"/>
            </w:tcBorders>
            <w:vAlign w:val="center"/>
          </w:tcPr>
          <w:p w14:paraId="717DD3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学期</w:t>
            </w:r>
          </w:p>
        </w:tc>
        <w:tc>
          <w:tcPr>
            <w:tcW w:w="738" w:type="dxa"/>
            <w:tcBorders>
              <w:top w:val="single" w:color="auto" w:sz="4" w:space="0"/>
              <w:left w:val="single" w:color="auto" w:sz="4" w:space="0"/>
              <w:bottom w:val="single" w:color="auto" w:sz="4" w:space="0"/>
              <w:right w:val="single" w:color="auto" w:sz="4" w:space="0"/>
            </w:tcBorders>
            <w:vAlign w:val="center"/>
          </w:tcPr>
          <w:p w14:paraId="01B58E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教学</w:t>
            </w:r>
          </w:p>
        </w:tc>
        <w:tc>
          <w:tcPr>
            <w:tcW w:w="942" w:type="dxa"/>
            <w:tcBorders>
              <w:top w:val="single" w:color="auto" w:sz="4" w:space="0"/>
              <w:left w:val="single" w:color="auto" w:sz="4" w:space="0"/>
              <w:bottom w:val="single" w:color="auto" w:sz="4" w:space="0"/>
              <w:right w:val="single" w:color="auto" w:sz="4" w:space="0"/>
            </w:tcBorders>
            <w:vAlign w:val="center"/>
          </w:tcPr>
          <w:p w14:paraId="2122F6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复习考试</w:t>
            </w:r>
          </w:p>
        </w:tc>
        <w:tc>
          <w:tcPr>
            <w:tcW w:w="743" w:type="dxa"/>
            <w:tcBorders>
              <w:top w:val="single" w:color="auto" w:sz="4" w:space="0"/>
              <w:left w:val="single" w:color="auto" w:sz="4" w:space="0"/>
              <w:bottom w:val="single" w:color="auto" w:sz="4" w:space="0"/>
              <w:right w:val="single" w:color="auto" w:sz="4" w:space="0"/>
            </w:tcBorders>
            <w:vAlign w:val="center"/>
          </w:tcPr>
          <w:p w14:paraId="143726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教学</w:t>
            </w:r>
          </w:p>
          <w:p w14:paraId="328175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见习</w:t>
            </w:r>
          </w:p>
        </w:tc>
        <w:tc>
          <w:tcPr>
            <w:tcW w:w="841" w:type="dxa"/>
            <w:tcBorders>
              <w:top w:val="single" w:color="auto" w:sz="4" w:space="0"/>
              <w:left w:val="single" w:color="auto" w:sz="4" w:space="0"/>
              <w:bottom w:val="single" w:color="auto" w:sz="4" w:space="0"/>
              <w:right w:val="single" w:color="auto" w:sz="4" w:space="0"/>
            </w:tcBorders>
            <w:vAlign w:val="center"/>
          </w:tcPr>
          <w:p w14:paraId="6FD5B3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毕业</w:t>
            </w:r>
          </w:p>
          <w:p w14:paraId="37D5C2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实习</w:t>
            </w:r>
          </w:p>
        </w:tc>
        <w:tc>
          <w:tcPr>
            <w:tcW w:w="1113" w:type="dxa"/>
            <w:tcBorders>
              <w:top w:val="single" w:color="auto" w:sz="4" w:space="0"/>
              <w:left w:val="single" w:color="auto" w:sz="4" w:space="0"/>
              <w:bottom w:val="single" w:color="auto" w:sz="4" w:space="0"/>
              <w:right w:val="single" w:color="auto" w:sz="4" w:space="0"/>
            </w:tcBorders>
            <w:vAlign w:val="center"/>
          </w:tcPr>
          <w:p w14:paraId="24FCFB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运动会</w:t>
            </w:r>
          </w:p>
          <w:p w14:paraId="2DFFC4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或长假</w:t>
            </w:r>
          </w:p>
        </w:tc>
        <w:tc>
          <w:tcPr>
            <w:tcW w:w="879" w:type="dxa"/>
            <w:tcBorders>
              <w:top w:val="single" w:color="auto" w:sz="4" w:space="0"/>
              <w:left w:val="single" w:color="auto" w:sz="4" w:space="0"/>
              <w:bottom w:val="single" w:color="auto" w:sz="4" w:space="0"/>
              <w:right w:val="single" w:color="auto" w:sz="4" w:space="0"/>
            </w:tcBorders>
            <w:vAlign w:val="center"/>
          </w:tcPr>
          <w:p w14:paraId="7BBB8D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社会实践</w:t>
            </w:r>
          </w:p>
        </w:tc>
        <w:tc>
          <w:tcPr>
            <w:tcW w:w="884" w:type="dxa"/>
            <w:tcBorders>
              <w:top w:val="single" w:color="auto" w:sz="4" w:space="0"/>
              <w:left w:val="single" w:color="auto" w:sz="4" w:space="0"/>
              <w:bottom w:val="single" w:color="auto" w:sz="4" w:space="0"/>
              <w:right w:val="single" w:color="auto" w:sz="4" w:space="0"/>
            </w:tcBorders>
            <w:vAlign w:val="center"/>
          </w:tcPr>
          <w:p w14:paraId="2996FC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楷体" w:cs="Times New Roman"/>
                <w:b/>
                <w:bCs/>
                <w:spacing w:val="-2"/>
                <w:sz w:val="20"/>
                <w:szCs w:val="20"/>
                <w:lang w:val="en-US" w:eastAsia="zh-CN"/>
              </w:rPr>
            </w:pPr>
            <w:r>
              <w:rPr>
                <w:rFonts w:hint="default" w:ascii="Times New Roman" w:hAnsi="Times New Roman" w:eastAsia="楷体" w:cs="Times New Roman"/>
                <w:b/>
                <w:bCs/>
                <w:spacing w:val="-2"/>
                <w:sz w:val="20"/>
                <w:szCs w:val="20"/>
                <w:lang w:val="en-US" w:eastAsia="zh-CN"/>
              </w:rPr>
              <w:t>合计</w:t>
            </w:r>
          </w:p>
        </w:tc>
      </w:tr>
      <w:tr w14:paraId="214C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35" w:type="dxa"/>
            <w:vMerge w:val="restart"/>
            <w:tcBorders>
              <w:top w:val="single" w:color="auto" w:sz="4" w:space="0"/>
              <w:left w:val="single" w:color="auto" w:sz="4" w:space="0"/>
              <w:bottom w:val="single" w:color="auto" w:sz="4" w:space="0"/>
              <w:right w:val="single" w:color="auto" w:sz="4" w:space="0"/>
            </w:tcBorders>
            <w:vAlign w:val="center"/>
          </w:tcPr>
          <w:p w14:paraId="2F896F11">
            <w:pPr>
              <w:spacing w:before="65" w:line="151" w:lineRule="exact"/>
              <w:jc w:val="center"/>
              <w:rPr>
                <w:rFonts w:hint="default" w:ascii="Times New Roman" w:hAnsi="Times New Roman" w:eastAsia="楷体" w:cs="Times New Roman"/>
                <w:sz w:val="20"/>
                <w:szCs w:val="20"/>
              </w:rPr>
            </w:pPr>
            <w:r>
              <w:rPr>
                <w:rFonts w:ascii="楷体" w:hAnsi="楷体" w:eastAsia="楷体" w:cs="楷体"/>
                <w:b w:val="0"/>
                <w:bCs/>
                <w:position w:val="-3"/>
                <w:sz w:val="20"/>
                <w:szCs w:val="20"/>
              </w:rPr>
              <w:t>一</w:t>
            </w:r>
          </w:p>
        </w:tc>
        <w:tc>
          <w:tcPr>
            <w:tcW w:w="938" w:type="dxa"/>
            <w:tcBorders>
              <w:top w:val="single" w:color="auto" w:sz="4" w:space="0"/>
              <w:left w:val="single" w:color="auto" w:sz="4" w:space="0"/>
              <w:bottom w:val="single" w:color="auto" w:sz="4" w:space="0"/>
              <w:right w:val="single" w:color="auto" w:sz="4" w:space="0"/>
            </w:tcBorders>
            <w:vAlign w:val="center"/>
          </w:tcPr>
          <w:p w14:paraId="1FE225F9">
            <w:pPr>
              <w:spacing w:before="65" w:line="190" w:lineRule="auto"/>
              <w:jc w:val="center"/>
              <w:rPr>
                <w:rFonts w:hint="default" w:ascii="Times New Roman" w:hAnsi="Times New Roman" w:eastAsia="楷体" w:cs="Times New Roman"/>
                <w:sz w:val="20"/>
                <w:szCs w:val="20"/>
              </w:rPr>
            </w:pPr>
            <w:r>
              <w:rPr>
                <w:rFonts w:ascii="楷体" w:hAnsi="楷体" w:eastAsia="楷体" w:cs="楷体"/>
                <w:b w:val="0"/>
                <w:bCs/>
                <w:sz w:val="20"/>
                <w:szCs w:val="20"/>
              </w:rPr>
              <w:t>1</w:t>
            </w:r>
          </w:p>
        </w:tc>
        <w:tc>
          <w:tcPr>
            <w:tcW w:w="738" w:type="dxa"/>
            <w:tcBorders>
              <w:top w:val="single" w:color="auto" w:sz="4" w:space="0"/>
              <w:left w:val="single" w:color="auto" w:sz="4" w:space="0"/>
              <w:bottom w:val="single" w:color="auto" w:sz="4" w:space="0"/>
              <w:right w:val="single" w:color="auto" w:sz="4" w:space="0"/>
            </w:tcBorders>
            <w:vAlign w:val="center"/>
          </w:tcPr>
          <w:p w14:paraId="233F8297">
            <w:pPr>
              <w:spacing w:before="65" w:line="191" w:lineRule="auto"/>
              <w:jc w:val="center"/>
              <w:rPr>
                <w:rFonts w:hint="default" w:ascii="Times New Roman" w:hAnsi="Times New Roman" w:eastAsia="楷体" w:cs="Times New Roman"/>
                <w:sz w:val="20"/>
                <w:szCs w:val="20"/>
                <w:lang w:eastAsia="zh-CN"/>
              </w:rPr>
            </w:pPr>
            <w:r>
              <w:rPr>
                <w:rFonts w:ascii="楷体" w:hAnsi="楷体" w:eastAsia="楷体" w:cs="楷体"/>
                <w:b w:val="0"/>
                <w:bCs/>
                <w:spacing w:val="-5"/>
                <w:sz w:val="20"/>
                <w:szCs w:val="20"/>
              </w:rPr>
              <w:t>1</w:t>
            </w:r>
            <w:r>
              <w:rPr>
                <w:rFonts w:hint="eastAsia" w:ascii="楷体" w:hAnsi="楷体" w:eastAsia="楷体" w:cs="楷体"/>
                <w:b w:val="0"/>
                <w:bCs/>
                <w:spacing w:val="-5"/>
                <w:sz w:val="20"/>
                <w:szCs w:val="20"/>
                <w:lang w:val="en-US" w:eastAsia="zh-CN"/>
              </w:rPr>
              <w:t>6</w:t>
            </w:r>
          </w:p>
        </w:tc>
        <w:tc>
          <w:tcPr>
            <w:tcW w:w="942" w:type="dxa"/>
            <w:tcBorders>
              <w:top w:val="single" w:color="auto" w:sz="4" w:space="0"/>
              <w:left w:val="single" w:color="auto" w:sz="4" w:space="0"/>
              <w:bottom w:val="single" w:color="auto" w:sz="4" w:space="0"/>
              <w:right w:val="single" w:color="auto" w:sz="4" w:space="0"/>
            </w:tcBorders>
            <w:vAlign w:val="center"/>
          </w:tcPr>
          <w:p w14:paraId="54BE74ED">
            <w:pPr>
              <w:spacing w:before="65" w:line="191" w:lineRule="auto"/>
              <w:jc w:val="center"/>
              <w:rPr>
                <w:rFonts w:hint="default" w:ascii="Times New Roman" w:hAnsi="Times New Roman" w:eastAsia="楷体" w:cs="Times New Roman"/>
                <w:sz w:val="20"/>
                <w:szCs w:val="20"/>
                <w:lang w:eastAsia="zh-CN"/>
              </w:rPr>
            </w:pPr>
            <w:r>
              <w:rPr>
                <w:rFonts w:hint="eastAsia" w:ascii="楷体" w:hAnsi="楷体" w:eastAsia="楷体" w:cs="楷体"/>
                <w:b w:val="0"/>
                <w:bCs/>
                <w:sz w:val="20"/>
                <w:szCs w:val="20"/>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14:paraId="698516A2">
            <w:pPr>
              <w:pStyle w:val="13"/>
              <w:jc w:val="center"/>
              <w:rPr>
                <w:rFonts w:hint="default" w:ascii="Times New Roman" w:hAnsi="Times New Roman" w:cs="Times New Roman"/>
              </w:rPr>
            </w:pPr>
          </w:p>
        </w:tc>
        <w:tc>
          <w:tcPr>
            <w:tcW w:w="841" w:type="dxa"/>
            <w:tcBorders>
              <w:top w:val="single" w:color="auto" w:sz="4" w:space="0"/>
              <w:left w:val="single" w:color="auto" w:sz="4" w:space="0"/>
              <w:bottom w:val="single" w:color="auto" w:sz="4" w:space="0"/>
              <w:right w:val="single" w:color="auto" w:sz="4" w:space="0"/>
            </w:tcBorders>
            <w:vAlign w:val="center"/>
          </w:tcPr>
          <w:p w14:paraId="35329893">
            <w:pPr>
              <w:pStyle w:val="13"/>
              <w:jc w:val="center"/>
              <w:rPr>
                <w:rFonts w:hint="default" w:ascii="Times New Roman" w:hAnsi="Times New Roman" w:cs="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14:paraId="683E3B82">
            <w:pPr>
              <w:spacing w:before="65" w:line="190" w:lineRule="auto"/>
              <w:jc w:val="center"/>
              <w:rPr>
                <w:rFonts w:hint="default" w:ascii="Times New Roman" w:hAnsi="Times New Roman" w:eastAsia="楷体" w:cs="Times New Roman"/>
                <w:sz w:val="20"/>
                <w:szCs w:val="20"/>
              </w:rPr>
            </w:pPr>
            <w:r>
              <w:rPr>
                <w:rFonts w:ascii="楷体" w:hAnsi="楷体" w:eastAsia="楷体" w:cs="楷体"/>
                <w:b w:val="0"/>
                <w:bCs/>
                <w:sz w:val="20"/>
                <w:szCs w:val="20"/>
              </w:rPr>
              <w:t>1</w:t>
            </w:r>
          </w:p>
        </w:tc>
        <w:tc>
          <w:tcPr>
            <w:tcW w:w="879" w:type="dxa"/>
            <w:tcBorders>
              <w:top w:val="single" w:color="auto" w:sz="4" w:space="0"/>
              <w:left w:val="single" w:color="auto" w:sz="4" w:space="0"/>
              <w:bottom w:val="single" w:color="auto" w:sz="4" w:space="0"/>
              <w:right w:val="single" w:color="auto" w:sz="4" w:space="0"/>
            </w:tcBorders>
            <w:vAlign w:val="center"/>
          </w:tcPr>
          <w:p w14:paraId="640F5F2D">
            <w:pPr>
              <w:spacing w:before="65" w:line="190" w:lineRule="auto"/>
              <w:ind w:left="405" w:leftChars="0"/>
              <w:jc w:val="both"/>
              <w:rPr>
                <w:rFonts w:hint="default" w:ascii="Times New Roman" w:hAnsi="Times New Roman" w:eastAsia="楷体" w:cs="Times New Roman"/>
                <w:sz w:val="20"/>
                <w:szCs w:val="20"/>
              </w:rPr>
            </w:pPr>
            <w:r>
              <w:rPr>
                <w:rFonts w:ascii="楷体" w:hAnsi="楷体" w:eastAsia="楷体" w:cs="楷体"/>
                <w:b w:val="0"/>
                <w:bCs/>
                <w:sz w:val="20"/>
                <w:szCs w:val="20"/>
              </w:rPr>
              <w:t>1</w:t>
            </w:r>
          </w:p>
        </w:tc>
        <w:tc>
          <w:tcPr>
            <w:tcW w:w="884" w:type="dxa"/>
            <w:tcBorders>
              <w:top w:val="single" w:color="auto" w:sz="4" w:space="0"/>
              <w:left w:val="single" w:color="auto" w:sz="4" w:space="0"/>
              <w:bottom w:val="single" w:color="auto" w:sz="4" w:space="0"/>
              <w:right w:val="single" w:color="auto" w:sz="4" w:space="0"/>
            </w:tcBorders>
            <w:vAlign w:val="center"/>
          </w:tcPr>
          <w:p w14:paraId="71578021">
            <w:pPr>
              <w:spacing w:before="65" w:line="191" w:lineRule="auto"/>
              <w:jc w:val="center"/>
              <w:rPr>
                <w:rFonts w:hint="default" w:ascii="Times New Roman" w:hAnsi="Times New Roman" w:eastAsia="楷体" w:cs="Times New Roman"/>
                <w:sz w:val="20"/>
                <w:szCs w:val="20"/>
              </w:rPr>
            </w:pPr>
            <w:r>
              <w:rPr>
                <w:rFonts w:ascii="楷体" w:hAnsi="楷体" w:eastAsia="楷体" w:cs="楷体"/>
                <w:b w:val="0"/>
                <w:bCs/>
                <w:spacing w:val="1"/>
                <w:sz w:val="20"/>
                <w:szCs w:val="20"/>
              </w:rPr>
              <w:t>20</w:t>
            </w:r>
          </w:p>
        </w:tc>
      </w:tr>
      <w:tr w14:paraId="4A87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14:paraId="22FD04A6">
            <w:pPr>
              <w:pStyle w:val="13"/>
              <w:jc w:val="center"/>
              <w:rPr>
                <w:rFonts w:hint="default" w:ascii="Times New Roman" w:hAnsi="Times New Roman" w:cs="Times New Roman"/>
              </w:rPr>
            </w:pPr>
          </w:p>
        </w:tc>
        <w:tc>
          <w:tcPr>
            <w:tcW w:w="938" w:type="dxa"/>
            <w:tcBorders>
              <w:top w:val="single" w:color="auto" w:sz="4" w:space="0"/>
              <w:left w:val="single" w:color="auto" w:sz="4" w:space="0"/>
              <w:bottom w:val="single" w:color="auto" w:sz="4" w:space="0"/>
              <w:right w:val="single" w:color="auto" w:sz="4" w:space="0"/>
            </w:tcBorders>
            <w:vAlign w:val="center"/>
          </w:tcPr>
          <w:p w14:paraId="5B57B1EA">
            <w:pPr>
              <w:spacing w:before="65" w:line="191" w:lineRule="auto"/>
              <w:jc w:val="center"/>
              <w:rPr>
                <w:rFonts w:hint="default" w:ascii="Times New Roman" w:hAnsi="Times New Roman" w:eastAsia="楷体" w:cs="Times New Roman"/>
                <w:sz w:val="20"/>
                <w:szCs w:val="20"/>
              </w:rPr>
            </w:pPr>
            <w:r>
              <w:rPr>
                <w:rFonts w:ascii="楷体" w:hAnsi="楷体" w:eastAsia="楷体" w:cs="楷体"/>
                <w:b w:val="0"/>
                <w:bCs/>
                <w:sz w:val="20"/>
                <w:szCs w:val="20"/>
              </w:rPr>
              <w:t>2</w:t>
            </w:r>
          </w:p>
        </w:tc>
        <w:tc>
          <w:tcPr>
            <w:tcW w:w="738" w:type="dxa"/>
            <w:tcBorders>
              <w:top w:val="single" w:color="auto" w:sz="4" w:space="0"/>
              <w:left w:val="single" w:color="auto" w:sz="4" w:space="0"/>
              <w:bottom w:val="single" w:color="auto" w:sz="4" w:space="0"/>
              <w:right w:val="single" w:color="auto" w:sz="4" w:space="0"/>
            </w:tcBorders>
            <w:vAlign w:val="center"/>
          </w:tcPr>
          <w:p w14:paraId="0EECC11D">
            <w:pPr>
              <w:spacing w:before="65" w:line="190" w:lineRule="auto"/>
              <w:jc w:val="center"/>
              <w:rPr>
                <w:rFonts w:hint="default" w:ascii="Times New Roman" w:hAnsi="Times New Roman" w:eastAsia="楷体" w:cs="Times New Roman"/>
                <w:sz w:val="20"/>
                <w:szCs w:val="20"/>
              </w:rPr>
            </w:pPr>
            <w:r>
              <w:rPr>
                <w:rFonts w:ascii="楷体" w:hAnsi="楷体" w:eastAsia="楷体" w:cs="楷体"/>
                <w:b w:val="0"/>
                <w:bCs/>
                <w:spacing w:val="-5"/>
                <w:sz w:val="20"/>
                <w:szCs w:val="20"/>
              </w:rPr>
              <w:t>16</w:t>
            </w:r>
          </w:p>
        </w:tc>
        <w:tc>
          <w:tcPr>
            <w:tcW w:w="942" w:type="dxa"/>
            <w:tcBorders>
              <w:top w:val="single" w:color="auto" w:sz="4" w:space="0"/>
              <w:left w:val="single" w:color="auto" w:sz="4" w:space="0"/>
              <w:bottom w:val="single" w:color="auto" w:sz="4" w:space="0"/>
              <w:right w:val="single" w:color="auto" w:sz="4" w:space="0"/>
            </w:tcBorders>
            <w:vAlign w:val="center"/>
          </w:tcPr>
          <w:p w14:paraId="2669C4C9">
            <w:pPr>
              <w:spacing w:before="65" w:line="191" w:lineRule="auto"/>
              <w:jc w:val="center"/>
              <w:rPr>
                <w:rFonts w:hint="default" w:ascii="Times New Roman" w:hAnsi="Times New Roman" w:eastAsia="楷体" w:cs="Times New Roman"/>
                <w:sz w:val="20"/>
                <w:szCs w:val="20"/>
                <w:lang w:eastAsia="zh-CN"/>
              </w:rPr>
            </w:pPr>
            <w:r>
              <w:rPr>
                <w:rFonts w:hint="eastAsia" w:ascii="楷体" w:hAnsi="楷体" w:eastAsia="楷体" w:cs="楷体"/>
                <w:b w:val="0"/>
                <w:bCs/>
                <w:sz w:val="20"/>
                <w:szCs w:val="20"/>
                <w:lang w:val="en-US" w:eastAsia="zh-CN"/>
              </w:rPr>
              <w:t>1</w:t>
            </w:r>
          </w:p>
        </w:tc>
        <w:tc>
          <w:tcPr>
            <w:tcW w:w="743" w:type="dxa"/>
            <w:tcBorders>
              <w:top w:val="single" w:color="auto" w:sz="4" w:space="0"/>
              <w:left w:val="single" w:color="auto" w:sz="4" w:space="0"/>
              <w:bottom w:val="single" w:color="auto" w:sz="4" w:space="0"/>
              <w:right w:val="single" w:color="auto" w:sz="4" w:space="0"/>
            </w:tcBorders>
            <w:vAlign w:val="center"/>
          </w:tcPr>
          <w:p w14:paraId="7B08BA7C">
            <w:pPr>
              <w:pStyle w:val="13"/>
              <w:jc w:val="center"/>
              <w:rPr>
                <w:rFonts w:hint="default" w:ascii="Times New Roman" w:hAnsi="Times New Roman" w:cs="Times New Roman"/>
              </w:rPr>
            </w:pPr>
          </w:p>
        </w:tc>
        <w:tc>
          <w:tcPr>
            <w:tcW w:w="841" w:type="dxa"/>
            <w:tcBorders>
              <w:top w:val="single" w:color="auto" w:sz="4" w:space="0"/>
              <w:left w:val="single" w:color="auto" w:sz="4" w:space="0"/>
              <w:bottom w:val="single" w:color="auto" w:sz="4" w:space="0"/>
              <w:right w:val="single" w:color="auto" w:sz="4" w:space="0"/>
            </w:tcBorders>
            <w:vAlign w:val="center"/>
          </w:tcPr>
          <w:p w14:paraId="36ECBE71">
            <w:pPr>
              <w:pStyle w:val="13"/>
              <w:jc w:val="center"/>
              <w:rPr>
                <w:rFonts w:hint="default" w:ascii="Times New Roman" w:hAnsi="Times New Roman" w:cs="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14:paraId="7DF5C9F7">
            <w:pPr>
              <w:spacing w:before="65" w:line="190" w:lineRule="auto"/>
              <w:jc w:val="center"/>
              <w:rPr>
                <w:rFonts w:hint="default" w:ascii="Times New Roman" w:hAnsi="Times New Roman" w:eastAsia="楷体" w:cs="Times New Roman"/>
                <w:sz w:val="20"/>
                <w:szCs w:val="20"/>
              </w:rPr>
            </w:pPr>
            <w:r>
              <w:rPr>
                <w:rFonts w:ascii="楷体" w:hAnsi="楷体" w:eastAsia="楷体" w:cs="楷体"/>
                <w:b w:val="0"/>
                <w:bCs/>
                <w:sz w:val="20"/>
                <w:szCs w:val="20"/>
              </w:rPr>
              <w:t>1</w:t>
            </w:r>
          </w:p>
        </w:tc>
        <w:tc>
          <w:tcPr>
            <w:tcW w:w="879" w:type="dxa"/>
            <w:tcBorders>
              <w:top w:val="single" w:color="auto" w:sz="4" w:space="0"/>
              <w:left w:val="single" w:color="auto" w:sz="4" w:space="0"/>
              <w:bottom w:val="single" w:color="auto" w:sz="4" w:space="0"/>
              <w:right w:val="single" w:color="auto" w:sz="4" w:space="0"/>
            </w:tcBorders>
            <w:vAlign w:val="center"/>
          </w:tcPr>
          <w:p w14:paraId="4710F2E5">
            <w:pPr>
              <w:spacing w:before="65" w:line="190" w:lineRule="auto"/>
              <w:jc w:val="center"/>
              <w:rPr>
                <w:rFonts w:hint="default" w:ascii="Times New Roman" w:hAnsi="Times New Roman" w:eastAsia="楷体" w:cs="Times New Roman"/>
                <w:sz w:val="20"/>
                <w:szCs w:val="20"/>
              </w:rPr>
            </w:pPr>
            <w:r>
              <w:rPr>
                <w:rFonts w:hint="eastAsia" w:ascii="楷体" w:hAnsi="楷体" w:eastAsia="楷体" w:cs="楷体"/>
                <w:b w:val="0"/>
                <w:bCs/>
                <w:sz w:val="20"/>
                <w:szCs w:val="20"/>
                <w:lang w:val="en-US" w:eastAsia="zh-CN"/>
              </w:rPr>
              <w:t>2</w:t>
            </w:r>
          </w:p>
        </w:tc>
        <w:tc>
          <w:tcPr>
            <w:tcW w:w="884" w:type="dxa"/>
            <w:tcBorders>
              <w:top w:val="single" w:color="auto" w:sz="4" w:space="0"/>
              <w:left w:val="single" w:color="auto" w:sz="4" w:space="0"/>
              <w:bottom w:val="single" w:color="auto" w:sz="4" w:space="0"/>
              <w:right w:val="single" w:color="auto" w:sz="4" w:space="0"/>
            </w:tcBorders>
            <w:vAlign w:val="center"/>
          </w:tcPr>
          <w:p w14:paraId="7ACCCD12">
            <w:pPr>
              <w:spacing w:before="61" w:line="186" w:lineRule="auto"/>
              <w:jc w:val="center"/>
              <w:rPr>
                <w:rFonts w:hint="default" w:ascii="Times New Roman" w:hAnsi="Times New Roman" w:eastAsia="Calibri" w:cs="Times New Roman"/>
                <w:sz w:val="20"/>
                <w:szCs w:val="20"/>
              </w:rPr>
            </w:pPr>
            <w:r>
              <w:rPr>
                <w:rFonts w:ascii="Calibri" w:hAnsi="Calibri" w:eastAsia="Calibri" w:cs="Calibri"/>
                <w:b w:val="0"/>
                <w:bCs/>
                <w:spacing w:val="-2"/>
                <w:sz w:val="20"/>
                <w:szCs w:val="20"/>
              </w:rPr>
              <w:t>20</w:t>
            </w:r>
          </w:p>
        </w:tc>
      </w:tr>
      <w:tr w14:paraId="25F3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935" w:type="dxa"/>
            <w:vMerge w:val="restart"/>
            <w:tcBorders>
              <w:top w:val="single" w:color="auto" w:sz="4" w:space="0"/>
              <w:left w:val="single" w:color="auto" w:sz="4" w:space="0"/>
              <w:bottom w:val="single" w:color="auto" w:sz="4" w:space="0"/>
              <w:right w:val="single" w:color="auto" w:sz="4" w:space="0"/>
            </w:tcBorders>
            <w:vAlign w:val="center"/>
          </w:tcPr>
          <w:p w14:paraId="2398245F">
            <w:pPr>
              <w:pStyle w:val="13"/>
              <w:jc w:val="center"/>
              <w:rPr>
                <w:rFonts w:hint="default" w:ascii="Times New Roman" w:hAnsi="Times New Roman" w:eastAsia="宋体" w:cs="Times New Roman"/>
                <w:lang w:val="en-US" w:eastAsia="zh-CN"/>
              </w:rPr>
            </w:pPr>
            <w:r>
              <w:rPr>
                <w:rFonts w:hint="eastAsia" w:eastAsia="宋体"/>
                <w:b w:val="0"/>
                <w:bCs/>
                <w:lang w:val="en-US" w:eastAsia="zh-CN"/>
              </w:rPr>
              <w:t>二</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9FF72DC">
            <w:pPr>
              <w:spacing w:before="65" w:line="191"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3</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E31E20">
            <w:pPr>
              <w:spacing w:before="65" w:line="190"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z w:val="20"/>
                <w:szCs w:val="20"/>
                <w:lang w:val="en-US" w:eastAsia="zh-CN"/>
              </w:rPr>
              <w:t>15、16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29C2141">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2</w:t>
            </w:r>
          </w:p>
        </w:tc>
        <w:tc>
          <w:tcPr>
            <w:tcW w:w="743" w:type="dxa"/>
            <w:vMerge w:val="restart"/>
            <w:tcBorders>
              <w:top w:val="single" w:color="auto" w:sz="4" w:space="0"/>
              <w:left w:val="single" w:color="auto" w:sz="4" w:space="0"/>
              <w:right w:val="single" w:color="auto" w:sz="4" w:space="0"/>
            </w:tcBorders>
            <w:shd w:val="clear" w:color="auto" w:fill="auto"/>
            <w:vAlign w:val="center"/>
          </w:tcPr>
          <w:p w14:paraId="21C44BC3">
            <w:pPr>
              <w:spacing w:before="65" w:line="190"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z w:val="20"/>
                <w:szCs w:val="20"/>
                <w:lang w:val="en-US" w:eastAsia="zh-CN"/>
              </w:rPr>
              <w:t>1</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60FEC1C">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332DBEE">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1</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6CC397D">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1</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1DDD34DB">
            <w:pPr>
              <w:spacing w:before="61" w:line="186" w:lineRule="auto"/>
              <w:jc w:val="center"/>
              <w:rPr>
                <w:rFonts w:hint="default" w:ascii="Times New Roman" w:hAnsi="Times New Roman" w:eastAsia="Calibri" w:cs="Times New Roman"/>
                <w:snapToGrid w:val="0"/>
                <w:color w:val="000000"/>
                <w:kern w:val="0"/>
                <w:sz w:val="20"/>
                <w:szCs w:val="20"/>
                <w:lang w:val="en-US" w:eastAsia="en-US" w:bidi="ar-SA"/>
              </w:rPr>
            </w:pPr>
            <w:r>
              <w:rPr>
                <w:rFonts w:ascii="Calibri" w:hAnsi="Calibri" w:eastAsia="Calibri" w:cs="Calibri"/>
                <w:b w:val="0"/>
                <w:bCs/>
                <w:spacing w:val="-2"/>
                <w:sz w:val="20"/>
                <w:szCs w:val="20"/>
              </w:rPr>
              <w:t>20</w:t>
            </w:r>
          </w:p>
        </w:tc>
      </w:tr>
      <w:tr w14:paraId="42AB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14:paraId="42A3487D">
            <w:pPr>
              <w:pStyle w:val="13"/>
              <w:jc w:val="center"/>
              <w:rPr>
                <w:rFonts w:hint="default" w:ascii="Times New Roman" w:hAnsi="Times New Roman" w:cs="Times New Roman"/>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0DC7D19">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pacing w:val="1"/>
                <w:sz w:val="20"/>
                <w:szCs w:val="20"/>
              </w:rPr>
              <w:t>4</w:t>
            </w:r>
          </w:p>
        </w:tc>
        <w:tc>
          <w:tcPr>
            <w:tcW w:w="738" w:type="dxa"/>
            <w:vMerge w:val="continue"/>
            <w:tcBorders>
              <w:top w:val="single" w:color="auto" w:sz="4" w:space="0"/>
              <w:left w:val="single" w:color="auto" w:sz="4" w:space="0"/>
              <w:bottom w:val="single" w:color="auto" w:sz="4" w:space="0"/>
              <w:right w:val="single" w:color="auto" w:sz="4" w:space="0"/>
            </w:tcBorders>
            <w:vAlign w:val="center"/>
          </w:tcPr>
          <w:p w14:paraId="71C09653">
            <w:pPr>
              <w:spacing w:before="65" w:line="190" w:lineRule="auto"/>
              <w:jc w:val="center"/>
              <w:rPr>
                <w:rFonts w:hint="default" w:ascii="Times New Roman" w:hAnsi="Times New Roman" w:eastAsia="楷体" w:cs="Times New Roman"/>
                <w:spacing w:val="-5"/>
                <w:sz w:val="20"/>
                <w:szCs w:val="20"/>
              </w:rPr>
            </w:pP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62D5773">
            <w:pPr>
              <w:spacing w:before="65" w:line="191"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2</w:t>
            </w:r>
          </w:p>
        </w:tc>
        <w:tc>
          <w:tcPr>
            <w:tcW w:w="743" w:type="dxa"/>
            <w:vMerge w:val="continue"/>
            <w:tcBorders>
              <w:left w:val="single" w:color="auto" w:sz="4" w:space="0"/>
              <w:bottom w:val="single" w:color="auto" w:sz="4" w:space="0"/>
              <w:right w:val="single" w:color="auto" w:sz="4" w:space="0"/>
            </w:tcBorders>
            <w:vAlign w:val="center"/>
          </w:tcPr>
          <w:p w14:paraId="7E40666D">
            <w:pPr>
              <w:pStyle w:val="13"/>
              <w:jc w:val="center"/>
              <w:rPr>
                <w:rFonts w:hint="default" w:ascii="Times New Roman" w:hAnsi="Times New Roman" w:cs="Times New Roman"/>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C1026C3">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2AF5748">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1</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513BFCF">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1</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43675FF1">
            <w:pPr>
              <w:spacing w:before="61" w:line="186" w:lineRule="auto"/>
              <w:jc w:val="center"/>
              <w:rPr>
                <w:rFonts w:hint="default" w:ascii="Times New Roman" w:hAnsi="Times New Roman" w:eastAsia="Calibri" w:cs="Times New Roman"/>
                <w:snapToGrid w:val="0"/>
                <w:color w:val="000000"/>
                <w:kern w:val="0"/>
                <w:sz w:val="20"/>
                <w:szCs w:val="20"/>
                <w:lang w:val="en-US" w:eastAsia="en-US" w:bidi="ar-SA"/>
              </w:rPr>
            </w:pPr>
            <w:r>
              <w:rPr>
                <w:rFonts w:ascii="Calibri" w:hAnsi="Calibri" w:eastAsia="Calibri" w:cs="Calibri"/>
                <w:b w:val="0"/>
                <w:bCs/>
                <w:spacing w:val="-2"/>
                <w:sz w:val="20"/>
                <w:szCs w:val="20"/>
              </w:rPr>
              <w:t>20</w:t>
            </w:r>
          </w:p>
        </w:tc>
      </w:tr>
      <w:tr w14:paraId="4954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935" w:type="dxa"/>
            <w:vMerge w:val="restart"/>
            <w:tcBorders>
              <w:top w:val="single" w:color="auto" w:sz="4" w:space="0"/>
              <w:left w:val="single" w:color="auto" w:sz="4" w:space="0"/>
              <w:bottom w:val="single" w:color="auto" w:sz="4" w:space="0"/>
              <w:right w:val="single" w:color="auto" w:sz="4" w:space="0"/>
            </w:tcBorders>
            <w:vAlign w:val="center"/>
          </w:tcPr>
          <w:p w14:paraId="4FA06C6C">
            <w:pPr>
              <w:pStyle w:val="13"/>
              <w:jc w:val="center"/>
              <w:rPr>
                <w:rFonts w:hint="default" w:ascii="Times New Roman" w:hAnsi="Times New Roman" w:eastAsia="宋体" w:cs="Times New Roman"/>
                <w:lang w:val="en-US" w:eastAsia="zh-CN"/>
              </w:rPr>
            </w:pPr>
            <w:r>
              <w:rPr>
                <w:rFonts w:hint="eastAsia" w:eastAsia="宋体"/>
                <w:b w:val="0"/>
                <w:bCs/>
                <w:lang w:val="en-US" w:eastAsia="zh-CN"/>
              </w:rPr>
              <w:t>三</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2E4F451">
            <w:pPr>
              <w:spacing w:before="65" w:line="187"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pacing w:val="1"/>
                <w:sz w:val="20"/>
                <w:szCs w:val="20"/>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15A9A63">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77E7DC9">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3A0BDD8A">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841" w:type="dxa"/>
            <w:vMerge w:val="restart"/>
            <w:tcBorders>
              <w:top w:val="single" w:color="auto" w:sz="4" w:space="0"/>
              <w:left w:val="single" w:color="auto" w:sz="4" w:space="0"/>
              <w:right w:val="single" w:color="auto" w:sz="4" w:space="0"/>
            </w:tcBorders>
            <w:shd w:val="clear" w:color="auto" w:fill="auto"/>
            <w:vAlign w:val="center"/>
          </w:tcPr>
          <w:p w14:paraId="65902014">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32</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0FBF9B1">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p>
        </w:tc>
        <w:tc>
          <w:tcPr>
            <w:tcW w:w="879" w:type="dxa"/>
            <w:vMerge w:val="restart"/>
            <w:tcBorders>
              <w:top w:val="single" w:color="auto" w:sz="4" w:space="0"/>
              <w:left w:val="single" w:color="auto" w:sz="4" w:space="0"/>
              <w:right w:val="single" w:color="auto" w:sz="4" w:space="0"/>
            </w:tcBorders>
            <w:shd w:val="clear" w:color="auto" w:fill="auto"/>
            <w:vAlign w:val="center"/>
          </w:tcPr>
          <w:p w14:paraId="075F5F08">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就业创业实践8周</w:t>
            </w:r>
          </w:p>
        </w:tc>
        <w:tc>
          <w:tcPr>
            <w:tcW w:w="884" w:type="dxa"/>
            <w:vMerge w:val="restart"/>
            <w:tcBorders>
              <w:top w:val="single" w:color="auto" w:sz="4" w:space="0"/>
              <w:left w:val="single" w:color="auto" w:sz="4" w:space="0"/>
              <w:right w:val="single" w:color="auto" w:sz="4" w:space="0"/>
            </w:tcBorders>
            <w:shd w:val="clear" w:color="auto" w:fill="auto"/>
            <w:vAlign w:val="center"/>
          </w:tcPr>
          <w:p w14:paraId="48E74304">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40</w:t>
            </w:r>
          </w:p>
        </w:tc>
      </w:tr>
      <w:tr w14:paraId="70DE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14:paraId="5097B669">
            <w:pPr>
              <w:pStyle w:val="13"/>
              <w:jc w:val="center"/>
              <w:rPr>
                <w:rFonts w:hint="default" w:ascii="Times New Roman" w:hAnsi="Times New Roman" w:cs="Times New Roman"/>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E428A36">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z w:val="20"/>
                <w:szCs w:val="20"/>
              </w:rPr>
              <w:t>6</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84FD937">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485B991">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7927D43">
            <w:pPr>
              <w:pStyle w:val="13"/>
              <w:jc w:val="center"/>
              <w:rPr>
                <w:rFonts w:hint="default" w:ascii="Times New Roman" w:hAnsi="Times New Roman" w:eastAsia="Arial" w:cs="Times New Roman"/>
                <w:snapToGrid w:val="0"/>
                <w:color w:val="000000"/>
                <w:kern w:val="0"/>
                <w:sz w:val="21"/>
                <w:szCs w:val="21"/>
                <w:lang w:val="en-US" w:eastAsia="en-US" w:bidi="ar-SA"/>
              </w:rPr>
            </w:pPr>
          </w:p>
        </w:tc>
        <w:tc>
          <w:tcPr>
            <w:tcW w:w="841" w:type="dxa"/>
            <w:vMerge w:val="continue"/>
            <w:tcBorders>
              <w:left w:val="single" w:color="auto" w:sz="4" w:space="0"/>
              <w:bottom w:val="single" w:color="auto" w:sz="4" w:space="0"/>
              <w:right w:val="single" w:color="auto" w:sz="4" w:space="0"/>
            </w:tcBorders>
            <w:shd w:val="clear" w:color="auto" w:fill="auto"/>
            <w:vAlign w:val="center"/>
          </w:tcPr>
          <w:p w14:paraId="58BEA32D">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5D5C84F">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p>
        </w:tc>
        <w:tc>
          <w:tcPr>
            <w:tcW w:w="879" w:type="dxa"/>
            <w:vMerge w:val="continue"/>
            <w:tcBorders>
              <w:left w:val="single" w:color="auto" w:sz="4" w:space="0"/>
              <w:bottom w:val="single" w:color="auto" w:sz="4" w:space="0"/>
              <w:right w:val="single" w:color="auto" w:sz="4" w:space="0"/>
            </w:tcBorders>
            <w:shd w:val="clear" w:color="auto" w:fill="auto"/>
            <w:vAlign w:val="center"/>
          </w:tcPr>
          <w:p w14:paraId="60154208">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p>
        </w:tc>
        <w:tc>
          <w:tcPr>
            <w:tcW w:w="884" w:type="dxa"/>
            <w:vMerge w:val="continue"/>
            <w:tcBorders>
              <w:left w:val="single" w:color="auto" w:sz="4" w:space="0"/>
              <w:bottom w:val="single" w:color="auto" w:sz="4" w:space="0"/>
              <w:right w:val="single" w:color="auto" w:sz="4" w:space="0"/>
            </w:tcBorders>
            <w:shd w:val="clear" w:color="auto" w:fill="auto"/>
            <w:vAlign w:val="center"/>
          </w:tcPr>
          <w:p w14:paraId="28A6767F">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p>
        </w:tc>
      </w:tr>
      <w:tr w14:paraId="3449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1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A8F785">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pacing w:val="1"/>
                <w:sz w:val="20"/>
                <w:szCs w:val="20"/>
              </w:rPr>
              <w:t>总计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6108FFC">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ascii="楷体" w:hAnsi="楷体" w:eastAsia="楷体" w:cs="楷体"/>
                <w:b w:val="0"/>
                <w:bCs/>
                <w:spacing w:val="1"/>
                <w:sz w:val="20"/>
                <w:szCs w:val="20"/>
              </w:rPr>
              <w:t>6</w:t>
            </w:r>
            <w:r>
              <w:rPr>
                <w:rFonts w:hint="eastAsia" w:ascii="楷体" w:hAnsi="楷体" w:eastAsia="楷体" w:cs="楷体"/>
                <w:b w:val="0"/>
                <w:bCs/>
                <w:spacing w:val="1"/>
                <w:sz w:val="20"/>
                <w:szCs w:val="20"/>
                <w:lang w:val="en-US" w:eastAsia="zh-CN"/>
              </w:rPr>
              <w:t>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A30FCED">
            <w:pPr>
              <w:spacing w:before="65" w:line="190" w:lineRule="auto"/>
              <w:jc w:val="center"/>
              <w:rPr>
                <w:rFonts w:hint="default" w:ascii="Times New Roman" w:hAnsi="Times New Roman" w:eastAsia="楷体" w:cs="Times New Roman"/>
                <w:snapToGrid w:val="0"/>
                <w:color w:val="000000"/>
                <w:kern w:val="0"/>
                <w:sz w:val="20"/>
                <w:szCs w:val="20"/>
                <w:lang w:val="en-US" w:eastAsia="en-US" w:bidi="ar-SA"/>
              </w:rPr>
            </w:pPr>
            <w:r>
              <w:rPr>
                <w:rFonts w:hint="eastAsia" w:ascii="楷体" w:hAnsi="楷体" w:eastAsia="楷体" w:cs="楷体"/>
                <w:b w:val="0"/>
                <w:bCs/>
                <w:sz w:val="20"/>
                <w:szCs w:val="20"/>
                <w:lang w:val="en-US" w:eastAsia="zh-CN"/>
              </w:rPr>
              <w:t>7</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24D15FE">
            <w:pPr>
              <w:spacing w:before="65" w:line="190" w:lineRule="auto"/>
              <w:jc w:val="center"/>
              <w:rPr>
                <w:rFonts w:hint="default" w:ascii="Times New Roman" w:hAnsi="Times New Roman" w:eastAsia="宋体" w:cs="Times New Roman"/>
                <w:snapToGrid w:val="0"/>
                <w:color w:val="000000"/>
                <w:kern w:val="0"/>
                <w:sz w:val="21"/>
                <w:szCs w:val="21"/>
                <w:lang w:val="en-US" w:eastAsia="en-US" w:bidi="ar-SA"/>
              </w:rPr>
            </w:pPr>
            <w:r>
              <w:rPr>
                <w:rFonts w:hint="eastAsia" w:ascii="楷体" w:hAnsi="楷体" w:eastAsia="楷体" w:cs="楷体"/>
                <w:b w:val="0"/>
                <w:bCs/>
                <w:sz w:val="20"/>
                <w:szCs w:val="20"/>
                <w:lang w:val="en-US" w:eastAsia="zh-CN"/>
              </w:rPr>
              <w:t>1</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946CCB8">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32</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B7D4249">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z w:val="20"/>
                <w:szCs w:val="20"/>
                <w:lang w:val="en-US" w:eastAsia="zh-CN"/>
              </w:rPr>
              <w:t>4</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D86063A">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z w:val="20"/>
                <w:szCs w:val="20"/>
                <w:lang w:val="en-US" w:eastAsia="zh-CN"/>
              </w:rPr>
              <w:t>13</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60B643C3">
            <w:pPr>
              <w:spacing w:before="65" w:line="191" w:lineRule="auto"/>
              <w:jc w:val="center"/>
              <w:rPr>
                <w:rFonts w:hint="default" w:ascii="Times New Roman" w:hAnsi="Times New Roman" w:eastAsia="楷体" w:cs="Times New Roman"/>
                <w:snapToGrid w:val="0"/>
                <w:color w:val="000000"/>
                <w:kern w:val="0"/>
                <w:sz w:val="20"/>
                <w:szCs w:val="20"/>
                <w:lang w:val="en-US" w:eastAsia="zh-CN" w:bidi="ar-SA"/>
              </w:rPr>
            </w:pPr>
            <w:r>
              <w:rPr>
                <w:rFonts w:hint="eastAsia" w:ascii="楷体" w:hAnsi="楷体" w:eastAsia="楷体" w:cs="楷体"/>
                <w:b w:val="0"/>
                <w:bCs/>
                <w:sz w:val="20"/>
                <w:szCs w:val="20"/>
                <w:lang w:val="en-US" w:eastAsia="zh-CN"/>
              </w:rPr>
              <w:t>120</w:t>
            </w:r>
          </w:p>
        </w:tc>
      </w:tr>
    </w:tbl>
    <w:p w14:paraId="74912A9A">
      <w:pPr>
        <w:keepNext w:val="0"/>
        <w:keepLines w:val="0"/>
        <w:pageBreakBefore w:val="0"/>
        <w:kinsoku/>
        <w:wordWrap/>
        <w:topLinePunct w:val="0"/>
        <w:bidi w:val="0"/>
        <w:rPr>
          <w:rFonts w:hint="default" w:ascii="Times New Roman" w:hAnsi="Times New Roman" w:cs="Times New Roman"/>
          <w:color w:val="auto"/>
          <w:sz w:val="21"/>
        </w:rPr>
      </w:pPr>
    </w:p>
    <w:p w14:paraId="205AD9AD">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lang w:val="en-US" w:eastAsia="zh-CN"/>
        </w:rPr>
      </w:pPr>
      <w:bookmarkStart w:id="16" w:name="_Toc20365"/>
      <w:r>
        <w:rPr>
          <w:rFonts w:hint="default" w:ascii="Times New Roman" w:hAnsi="Times New Roman" w:cs="Times New Roman"/>
          <w:b/>
          <w:bCs/>
          <w:color w:val="auto"/>
          <w:spacing w:val="4"/>
          <w:lang w:val="en-US" w:eastAsia="zh-CN"/>
        </w:rPr>
        <w:t>（二）教学计划进程表</w:t>
      </w:r>
      <w:bookmarkEnd w:id="16"/>
    </w:p>
    <w:p w14:paraId="3931A9E8">
      <w:pPr>
        <w:pStyle w:val="5"/>
        <w:keepNext w:val="0"/>
        <w:keepLines w:val="0"/>
        <w:pageBreakBefore w:val="0"/>
        <w:kinsoku/>
        <w:wordWrap/>
        <w:topLinePunct w:val="0"/>
        <w:bidi w:val="0"/>
        <w:spacing w:before="175" w:line="228" w:lineRule="auto"/>
        <w:jc w:val="center"/>
        <w:rPr>
          <w:rFonts w:hint="default" w:ascii="Times New Roman" w:hAnsi="Times New Roman" w:cs="Times New Roman"/>
          <w:b/>
          <w:bCs/>
          <w:color w:val="auto"/>
          <w:spacing w:val="5"/>
          <w:lang w:val="en-US" w:eastAsia="zh-CN"/>
        </w:rPr>
      </w:pPr>
      <w:r>
        <w:rPr>
          <w:rFonts w:hint="default" w:ascii="Times New Roman" w:hAnsi="Times New Roman" w:cs="Times New Roman"/>
          <w:b/>
          <w:bCs/>
          <w:color w:val="auto"/>
          <w:spacing w:val="5"/>
          <w:lang w:val="en-US" w:eastAsia="zh-CN"/>
        </w:rPr>
        <w:t>2026级口腔医学专业教学计划进程表</w:t>
      </w:r>
    </w:p>
    <w:tbl>
      <w:tblPr>
        <w:tblStyle w:val="9"/>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3"/>
        <w:gridCol w:w="2259"/>
        <w:gridCol w:w="514"/>
        <w:gridCol w:w="448"/>
        <w:gridCol w:w="1887"/>
        <w:gridCol w:w="439"/>
        <w:gridCol w:w="513"/>
        <w:gridCol w:w="513"/>
        <w:gridCol w:w="513"/>
        <w:gridCol w:w="490"/>
        <w:gridCol w:w="490"/>
        <w:gridCol w:w="490"/>
        <w:gridCol w:w="490"/>
        <w:gridCol w:w="513"/>
      </w:tblGrid>
      <w:tr w14:paraId="03F1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E57E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课程</w:t>
            </w:r>
          </w:p>
        </w:tc>
        <w:tc>
          <w:tcPr>
            <w:tcW w:w="1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4EEE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课程名称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204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考核方式</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7080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考试学期</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A39F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2"/>
                <w:szCs w:val="22"/>
                <w:highlight w:val="none"/>
                <w:u w:val="none"/>
              </w:rPr>
            </w:pPr>
            <w:r>
              <w:rPr>
                <w:rStyle w:val="14"/>
                <w:rFonts w:hint="default" w:ascii="Times New Roman" w:hAnsi="Times New Roman" w:cs="Times New Roman"/>
                <w:snapToGrid w:val="0"/>
                <w:color w:val="000000"/>
                <w:sz w:val="22"/>
                <w:szCs w:val="22"/>
                <w:highlight w:val="none"/>
                <w:lang w:val="en-US" w:eastAsia="zh-CN" w:bidi="ar"/>
              </w:rPr>
              <w:t>开课单位</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8BBD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学分</w:t>
            </w:r>
          </w:p>
        </w:tc>
        <w:tc>
          <w:tcPr>
            <w:tcW w:w="80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B80C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学时数</w:t>
            </w:r>
          </w:p>
        </w:tc>
        <w:tc>
          <w:tcPr>
            <w:tcW w:w="12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D504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4"/>
                <w:rFonts w:hint="default" w:ascii="Times New Roman" w:hAnsi="Times New Roman" w:cs="Times New Roman"/>
                <w:snapToGrid w:val="0"/>
                <w:color w:val="000000"/>
                <w:sz w:val="20"/>
                <w:szCs w:val="20"/>
                <w:highlight w:val="none"/>
                <w:lang w:val="en-US" w:eastAsia="zh-CN" w:bidi="ar"/>
              </w:rPr>
              <w:t>按学年及学期分配</w:t>
            </w:r>
          </w:p>
        </w:tc>
      </w:tr>
      <w:tr w14:paraId="765B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2EA9D">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1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9429">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C8FF">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3313">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AB9D">
            <w:pPr>
              <w:spacing w:line="240" w:lineRule="auto"/>
              <w:jc w:val="center"/>
              <w:rPr>
                <w:rFonts w:hint="default" w:ascii="Times New Roman" w:hAnsi="Times New Roman" w:eastAsia="宋体" w:cs="Times New Roman"/>
                <w:b/>
                <w:bCs/>
                <w:i w:val="0"/>
                <w:iCs w:val="0"/>
                <w:color w:val="000000"/>
                <w:sz w:val="22"/>
                <w:szCs w:val="22"/>
                <w:highlight w:val="none"/>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B955">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8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EA1B">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8B4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4"/>
                <w:rFonts w:hint="default" w:ascii="Times New Roman" w:hAnsi="Times New Roman" w:cs="Times New Roman"/>
                <w:snapToGrid w:val="0"/>
                <w:color w:val="000000"/>
                <w:sz w:val="16"/>
                <w:szCs w:val="16"/>
                <w:highlight w:val="none"/>
                <w:lang w:val="en-US" w:eastAsia="zh-CN" w:bidi="ar"/>
              </w:rPr>
              <w:t>第一学年</w:t>
            </w:r>
          </w:p>
        </w:tc>
        <w:tc>
          <w:tcPr>
            <w:tcW w:w="5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24B5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4"/>
                <w:rFonts w:hint="default" w:ascii="Times New Roman" w:hAnsi="Times New Roman" w:cs="Times New Roman"/>
                <w:snapToGrid w:val="0"/>
                <w:color w:val="000000"/>
                <w:sz w:val="16"/>
                <w:szCs w:val="16"/>
                <w:highlight w:val="none"/>
                <w:lang w:val="en-US" w:eastAsia="zh-CN" w:bidi="ar"/>
              </w:rPr>
              <w:t>第二学年</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149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4"/>
                <w:rFonts w:hint="default" w:ascii="Times New Roman" w:hAnsi="Times New Roman" w:cs="Times New Roman"/>
                <w:snapToGrid w:val="0"/>
                <w:color w:val="000000"/>
                <w:sz w:val="16"/>
                <w:szCs w:val="16"/>
                <w:highlight w:val="none"/>
                <w:lang w:val="en-US" w:eastAsia="zh-CN" w:bidi="ar"/>
              </w:rPr>
              <w:t>第三学年</w:t>
            </w:r>
          </w:p>
        </w:tc>
      </w:tr>
      <w:tr w14:paraId="318F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6386">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1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B152">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80FB">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03F1">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67F1">
            <w:pPr>
              <w:spacing w:line="240" w:lineRule="auto"/>
              <w:jc w:val="center"/>
              <w:rPr>
                <w:rFonts w:hint="default" w:ascii="Times New Roman" w:hAnsi="Times New Roman" w:eastAsia="宋体" w:cs="Times New Roman"/>
                <w:b/>
                <w:bCs/>
                <w:i w:val="0"/>
                <w:iCs w:val="0"/>
                <w:color w:val="000000"/>
                <w:sz w:val="22"/>
                <w:szCs w:val="22"/>
                <w:highlight w:val="none"/>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EC6E">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21FA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总计</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81D9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理论</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45B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0"/>
                <w:szCs w:val="20"/>
                <w:highlight w:val="none"/>
                <w:u w:val="none"/>
              </w:rPr>
            </w:pPr>
            <w:r>
              <w:rPr>
                <w:rStyle w:val="14"/>
                <w:rFonts w:hint="default" w:ascii="Times New Roman" w:hAnsi="Times New Roman" w:cs="Times New Roman"/>
                <w:snapToGrid w:val="0"/>
                <w:color w:val="000000"/>
                <w:sz w:val="20"/>
                <w:szCs w:val="20"/>
                <w:highlight w:val="none"/>
                <w:lang w:val="en-US" w:eastAsia="zh-CN" w:bidi="ar"/>
              </w:rPr>
              <w:t>实践</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top"/>
          </w:tcPr>
          <w:p w14:paraId="41B0BE03">
            <w:pPr>
              <w:keepNext w:val="0"/>
              <w:keepLines w:val="0"/>
              <w:widowControl/>
              <w:suppressLineNumbers w:val="0"/>
              <w:spacing w:line="240" w:lineRule="auto"/>
              <w:jc w:val="center"/>
              <w:textAlignment w:val="top"/>
              <w:rPr>
                <w:rFonts w:hint="default" w:ascii="Times New Roman" w:hAnsi="Times New Roman" w:eastAsia="宋体" w:cs="Times New Roman"/>
                <w:b/>
                <w:bCs/>
                <w:i w:val="0"/>
                <w:iCs w:val="0"/>
                <w:color w:val="000000"/>
                <w:sz w:val="16"/>
                <w:szCs w:val="16"/>
                <w:highlight w:val="none"/>
                <w:u w:val="none"/>
              </w:rPr>
            </w:pPr>
            <w:r>
              <w:rPr>
                <w:rFonts w:hint="default" w:ascii="Times New Roman" w:hAnsi="Times New Roman" w:eastAsia="宋体" w:cs="Times New Roman"/>
                <w:b/>
                <w:bCs/>
                <w:i w:val="0"/>
                <w:iCs w:val="0"/>
                <w:snapToGrid w:val="0"/>
                <w:color w:val="000000"/>
                <w:kern w:val="0"/>
                <w:sz w:val="16"/>
                <w:szCs w:val="16"/>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top"/>
          </w:tcPr>
          <w:p w14:paraId="53458CDF">
            <w:pPr>
              <w:keepNext w:val="0"/>
              <w:keepLines w:val="0"/>
              <w:widowControl/>
              <w:suppressLineNumbers w:val="0"/>
              <w:spacing w:line="240" w:lineRule="auto"/>
              <w:jc w:val="center"/>
              <w:textAlignment w:val="top"/>
              <w:rPr>
                <w:rFonts w:hint="default" w:ascii="Times New Roman" w:hAnsi="Times New Roman" w:eastAsia="宋体" w:cs="Times New Roman"/>
                <w:b/>
                <w:bCs/>
                <w:i w:val="0"/>
                <w:iCs w:val="0"/>
                <w:color w:val="000000"/>
                <w:sz w:val="16"/>
                <w:szCs w:val="16"/>
                <w:highlight w:val="none"/>
                <w:u w:val="none"/>
              </w:rPr>
            </w:pPr>
            <w:r>
              <w:rPr>
                <w:rFonts w:hint="default" w:ascii="Times New Roman" w:hAnsi="Times New Roman" w:eastAsia="宋体" w:cs="Times New Roman"/>
                <w:b/>
                <w:bCs/>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top"/>
          </w:tcPr>
          <w:p w14:paraId="0F373990">
            <w:pPr>
              <w:keepNext w:val="0"/>
              <w:keepLines w:val="0"/>
              <w:widowControl/>
              <w:suppressLineNumbers w:val="0"/>
              <w:spacing w:line="240" w:lineRule="auto"/>
              <w:jc w:val="center"/>
              <w:textAlignment w:val="top"/>
              <w:rPr>
                <w:rFonts w:hint="default" w:ascii="Times New Roman" w:hAnsi="Times New Roman" w:eastAsia="宋体" w:cs="Times New Roman"/>
                <w:b/>
                <w:bCs/>
                <w:i w:val="0"/>
                <w:iCs w:val="0"/>
                <w:color w:val="000000"/>
                <w:sz w:val="16"/>
                <w:szCs w:val="16"/>
                <w:highlight w:val="none"/>
                <w:u w:val="none"/>
              </w:rPr>
            </w:pPr>
            <w:r>
              <w:rPr>
                <w:rFonts w:hint="default" w:ascii="Times New Roman" w:hAnsi="Times New Roman" w:eastAsia="宋体" w:cs="Times New Roman"/>
                <w:b/>
                <w:bCs/>
                <w:i w:val="0"/>
                <w:iCs w:val="0"/>
                <w:snapToGrid w:val="0"/>
                <w:color w:val="000000"/>
                <w:kern w:val="0"/>
                <w:sz w:val="16"/>
                <w:szCs w:val="16"/>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top"/>
          </w:tcPr>
          <w:p w14:paraId="1AD9A1B2">
            <w:pPr>
              <w:keepNext w:val="0"/>
              <w:keepLines w:val="0"/>
              <w:widowControl/>
              <w:suppressLineNumbers w:val="0"/>
              <w:spacing w:line="240" w:lineRule="auto"/>
              <w:jc w:val="center"/>
              <w:textAlignment w:val="top"/>
              <w:rPr>
                <w:rFonts w:hint="default" w:ascii="Times New Roman" w:hAnsi="Times New Roman" w:eastAsia="宋体" w:cs="Times New Roman"/>
                <w:b/>
                <w:bCs/>
                <w:i w:val="0"/>
                <w:iCs w:val="0"/>
                <w:color w:val="000000"/>
                <w:sz w:val="16"/>
                <w:szCs w:val="16"/>
                <w:highlight w:val="none"/>
                <w:u w:val="none"/>
              </w:rPr>
            </w:pPr>
            <w:r>
              <w:rPr>
                <w:rFonts w:hint="default" w:ascii="Times New Roman" w:hAnsi="Times New Roman" w:eastAsia="宋体" w:cs="Times New Roman"/>
                <w:b/>
                <w:bCs/>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top"/>
          </w:tcPr>
          <w:p w14:paraId="187D8FF0">
            <w:pPr>
              <w:keepNext w:val="0"/>
              <w:keepLines w:val="0"/>
              <w:widowControl/>
              <w:suppressLineNumbers w:val="0"/>
              <w:spacing w:line="240" w:lineRule="auto"/>
              <w:jc w:val="center"/>
              <w:textAlignment w:val="top"/>
              <w:rPr>
                <w:rFonts w:hint="default" w:ascii="Times New Roman" w:hAnsi="Times New Roman" w:eastAsia="宋体" w:cs="Times New Roman"/>
                <w:b/>
                <w:bCs/>
                <w:i w:val="0"/>
                <w:iCs w:val="0"/>
                <w:color w:val="000000"/>
                <w:sz w:val="16"/>
                <w:szCs w:val="16"/>
                <w:highlight w:val="none"/>
                <w:u w:val="none"/>
              </w:rPr>
            </w:pPr>
            <w:r>
              <w:rPr>
                <w:rFonts w:hint="default" w:ascii="Times New Roman" w:hAnsi="Times New Roman" w:eastAsia="宋体" w:cs="Times New Roman"/>
                <w:b/>
                <w:bCs/>
                <w:i w:val="0"/>
                <w:iCs w:val="0"/>
                <w:snapToGrid w:val="0"/>
                <w:color w:val="000000"/>
                <w:kern w:val="0"/>
                <w:sz w:val="16"/>
                <w:szCs w:val="16"/>
                <w:highlight w:val="none"/>
                <w:u w:val="none"/>
                <w:lang w:val="en-US" w:eastAsia="zh-CN" w:bidi="ar"/>
              </w:rPr>
              <w:t>5   6</w:t>
            </w:r>
          </w:p>
        </w:tc>
      </w:tr>
      <w:tr w14:paraId="7B83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DCF4">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1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F7EC">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0D46">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0229">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8B85">
            <w:pPr>
              <w:spacing w:line="240" w:lineRule="auto"/>
              <w:jc w:val="center"/>
              <w:rPr>
                <w:rFonts w:hint="default" w:ascii="Times New Roman" w:hAnsi="Times New Roman" w:eastAsia="宋体" w:cs="Times New Roman"/>
                <w:b/>
                <w:bCs/>
                <w:i w:val="0"/>
                <w:iCs w:val="0"/>
                <w:color w:val="000000"/>
                <w:sz w:val="20"/>
                <w:szCs w:val="20"/>
                <w:highlight w:val="none"/>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F9B7">
            <w:pPr>
              <w:spacing w:line="240" w:lineRule="auto"/>
              <w:jc w:val="center"/>
              <w:rPr>
                <w:rFonts w:hint="default" w:ascii="Times New Roman" w:hAnsi="Times New Roman" w:eastAsia="宋体" w:cs="Times New Roman"/>
                <w:b/>
                <w:bCs/>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9283">
            <w:pPr>
              <w:spacing w:line="240" w:lineRule="auto"/>
              <w:jc w:val="center"/>
              <w:rPr>
                <w:rFonts w:hint="default" w:ascii="Times New Roman" w:hAnsi="Times New Roman" w:eastAsia="宋体" w:cs="Times New Roman"/>
                <w:b/>
                <w:bCs/>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6735">
            <w:pPr>
              <w:spacing w:line="240" w:lineRule="auto"/>
              <w:jc w:val="center"/>
              <w:rPr>
                <w:rFonts w:hint="default" w:ascii="Times New Roman" w:hAnsi="Times New Roman" w:eastAsia="宋体" w:cs="Times New Roman"/>
                <w:b/>
                <w:bCs/>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7A0F">
            <w:pPr>
              <w:spacing w:line="240" w:lineRule="auto"/>
              <w:jc w:val="center"/>
              <w:rPr>
                <w:rFonts w:hint="default" w:ascii="Times New Roman" w:hAnsi="Times New Roman" w:eastAsia="宋体" w:cs="Times New Roman"/>
                <w:b/>
                <w:bCs/>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481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5"/>
                <w:rFonts w:hint="default" w:ascii="Times New Roman" w:hAnsi="Times New Roman" w:eastAsia="宋体" w:cs="Times New Roman"/>
                <w:snapToGrid w:val="0"/>
                <w:color w:val="000000"/>
                <w:sz w:val="16"/>
                <w:szCs w:val="16"/>
                <w:highlight w:val="none"/>
                <w:lang w:val="en-US" w:eastAsia="zh-CN" w:bidi="ar"/>
              </w:rPr>
              <w:t>16</w:t>
            </w:r>
            <w:r>
              <w:rPr>
                <w:rStyle w:val="14"/>
                <w:rFonts w:hint="default" w:ascii="Times New Roman" w:hAnsi="Times New Roman" w:cs="Times New Roman"/>
                <w:snapToGrid w:val="0"/>
                <w:color w:val="000000"/>
                <w:sz w:val="16"/>
                <w:szCs w:val="16"/>
                <w:highlight w:val="none"/>
                <w:lang w:val="en-US" w:eastAsia="zh-CN" w:bidi="ar"/>
              </w:rPr>
              <w:t>周</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132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5"/>
                <w:rFonts w:hint="default" w:ascii="Times New Roman" w:hAnsi="Times New Roman" w:eastAsia="宋体" w:cs="Times New Roman"/>
                <w:snapToGrid w:val="0"/>
                <w:color w:val="000000"/>
                <w:sz w:val="16"/>
                <w:szCs w:val="16"/>
                <w:highlight w:val="none"/>
                <w:lang w:val="en-US" w:eastAsia="zh-CN" w:bidi="ar"/>
              </w:rPr>
              <w:t>16</w:t>
            </w:r>
            <w:r>
              <w:rPr>
                <w:rStyle w:val="14"/>
                <w:rFonts w:hint="default" w:ascii="Times New Roman" w:hAnsi="Times New Roman" w:cs="Times New Roman"/>
                <w:snapToGrid w:val="0"/>
                <w:color w:val="000000"/>
                <w:sz w:val="16"/>
                <w:szCs w:val="16"/>
                <w:highlight w:val="none"/>
                <w:lang w:val="en-US" w:eastAsia="zh-CN" w:bidi="ar"/>
              </w:rPr>
              <w:t>周</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0F7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5"/>
                <w:rFonts w:hint="default" w:ascii="Times New Roman" w:hAnsi="Times New Roman" w:eastAsia="宋体" w:cs="Times New Roman"/>
                <w:snapToGrid w:val="0"/>
                <w:color w:val="000000"/>
                <w:sz w:val="16"/>
                <w:szCs w:val="16"/>
                <w:highlight w:val="none"/>
                <w:lang w:val="en-US" w:eastAsia="zh-CN" w:bidi="ar"/>
              </w:rPr>
              <w:t>16</w:t>
            </w:r>
            <w:r>
              <w:rPr>
                <w:rStyle w:val="14"/>
                <w:rFonts w:hint="default" w:ascii="Times New Roman" w:hAnsi="Times New Roman" w:cs="Times New Roman"/>
                <w:snapToGrid w:val="0"/>
                <w:color w:val="000000"/>
                <w:sz w:val="16"/>
                <w:szCs w:val="16"/>
                <w:highlight w:val="none"/>
                <w:lang w:val="en-US" w:eastAsia="zh-CN" w:bidi="ar"/>
              </w:rPr>
              <w:t>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678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5"/>
                <w:rFonts w:hint="default" w:ascii="Times New Roman" w:hAnsi="Times New Roman" w:eastAsia="宋体" w:cs="Times New Roman"/>
                <w:snapToGrid w:val="0"/>
                <w:color w:val="000000"/>
                <w:sz w:val="16"/>
                <w:szCs w:val="16"/>
                <w:highlight w:val="none"/>
                <w:lang w:val="en-US" w:eastAsia="zh-CN" w:bidi="ar"/>
              </w:rPr>
              <w:t>16</w:t>
            </w:r>
            <w:r>
              <w:rPr>
                <w:rStyle w:val="14"/>
                <w:rFonts w:hint="default" w:ascii="Times New Roman" w:hAnsi="Times New Roman" w:cs="Times New Roman"/>
                <w:snapToGrid w:val="0"/>
                <w:color w:val="000000"/>
                <w:sz w:val="16"/>
                <w:szCs w:val="16"/>
                <w:highlight w:val="none"/>
                <w:lang w:val="en-US" w:eastAsia="zh-CN" w:bidi="ar"/>
              </w:rPr>
              <w:t>周</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A78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16"/>
                <w:szCs w:val="16"/>
                <w:highlight w:val="none"/>
                <w:u w:val="none"/>
              </w:rPr>
            </w:pPr>
            <w:r>
              <w:rPr>
                <w:rStyle w:val="14"/>
                <w:rFonts w:hint="default" w:ascii="Times New Roman" w:hAnsi="Times New Roman" w:cs="Times New Roman"/>
                <w:snapToGrid w:val="0"/>
                <w:color w:val="000000"/>
                <w:sz w:val="16"/>
                <w:szCs w:val="16"/>
                <w:highlight w:val="none"/>
                <w:lang w:val="en-US" w:eastAsia="zh-CN" w:bidi="ar"/>
              </w:rPr>
              <w:t>实习</w:t>
            </w:r>
          </w:p>
        </w:tc>
      </w:tr>
      <w:tr w14:paraId="6DBD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49C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公共基础课程</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5C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思想道德与法治</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50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5C0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30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6E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4E5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96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58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AB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7"/>
                <w:rFonts w:hint="default" w:ascii="Times New Roman" w:hAnsi="Times New Roman" w:eastAsia="宋体" w:cs="Times New Roman"/>
                <w:snapToGrid w:val="0"/>
                <w:color w:val="000000"/>
                <w:sz w:val="16"/>
                <w:szCs w:val="16"/>
                <w:highlight w:val="none"/>
                <w:lang w:val="en-US" w:eastAsia="zh-CN" w:bidi="ar"/>
              </w:rPr>
              <w:t xml:space="preserve">3 </w:t>
            </w: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5DE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1F1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BCC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A16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在二级甲等及以上、设有</w:t>
            </w:r>
            <w:r>
              <w:rPr>
                <w:rStyle w:val="17"/>
                <w:rFonts w:hint="default" w:ascii="Times New Roman" w:hAnsi="Times New Roman" w:eastAsia="宋体" w:cs="Times New Roman"/>
                <w:snapToGrid w:val="0"/>
                <w:color w:val="000000"/>
                <w:sz w:val="16"/>
                <w:szCs w:val="16"/>
                <w:highlight w:val="none"/>
                <w:lang w:val="en-US" w:eastAsia="zh-CN" w:bidi="ar"/>
              </w:rPr>
              <w:t>10</w:t>
            </w:r>
            <w:r>
              <w:rPr>
                <w:rStyle w:val="16"/>
                <w:rFonts w:hint="default" w:ascii="Times New Roman" w:hAnsi="Times New Roman" w:cs="Times New Roman"/>
                <w:snapToGrid w:val="0"/>
                <w:color w:val="000000"/>
                <w:sz w:val="16"/>
                <w:szCs w:val="16"/>
                <w:highlight w:val="none"/>
                <w:lang w:val="en-US" w:eastAsia="zh-CN" w:bidi="ar"/>
              </w:rPr>
              <w:t>台以上牙椅的口腔医疗机构完成为期</w:t>
            </w:r>
            <w:r>
              <w:rPr>
                <w:rStyle w:val="17"/>
                <w:rFonts w:hint="default" w:ascii="Times New Roman" w:hAnsi="Times New Roman" w:eastAsia="宋体" w:cs="Times New Roman"/>
                <w:snapToGrid w:val="0"/>
                <w:color w:val="000000"/>
                <w:sz w:val="16"/>
                <w:szCs w:val="16"/>
                <w:highlight w:val="none"/>
                <w:lang w:val="en-US" w:eastAsia="zh-CN" w:bidi="ar"/>
              </w:rPr>
              <w:t>32</w:t>
            </w:r>
            <w:r>
              <w:rPr>
                <w:rStyle w:val="16"/>
                <w:rFonts w:hint="default" w:ascii="Times New Roman" w:hAnsi="Times New Roman" w:cs="Times New Roman"/>
                <w:snapToGrid w:val="0"/>
                <w:color w:val="000000"/>
                <w:sz w:val="16"/>
                <w:szCs w:val="16"/>
                <w:highlight w:val="none"/>
                <w:lang w:val="en-US" w:eastAsia="zh-CN" w:bidi="ar"/>
              </w:rPr>
              <w:t>周的毕业实习</w:t>
            </w:r>
          </w:p>
        </w:tc>
      </w:tr>
      <w:tr w14:paraId="45AE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EE4F">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25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毛泽东思想和中国特色社会主义理论体系概论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1D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58A8">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9E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F7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9B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0C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D5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AEA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37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7"/>
                <w:rFonts w:hint="default" w:ascii="Times New Roman" w:hAnsi="Times New Roman" w:eastAsia="宋体" w:cs="Times New Roman"/>
                <w:snapToGrid w:val="0"/>
                <w:color w:val="000000"/>
                <w:sz w:val="16"/>
                <w:szCs w:val="16"/>
                <w:highlight w:val="none"/>
                <w:lang w:val="en-US" w:eastAsia="zh-CN" w:bidi="ar"/>
              </w:rPr>
              <w:t xml:space="preserve">2 </w:t>
            </w: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EA1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87A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AAA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762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A60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41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习近平新时代中国特色社会主义思想概论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7F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67D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71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17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A3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63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63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6E6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02F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D3A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6"/>
                <w:szCs w:val="16"/>
                <w:highlight w:val="none"/>
                <w:u w:val="none"/>
              </w:rPr>
            </w:pPr>
            <w:r>
              <w:rPr>
                <w:rStyle w:val="17"/>
                <w:rFonts w:hint="default" w:ascii="Times New Roman" w:hAnsi="Times New Roman" w:eastAsia="宋体" w:cs="Times New Roman"/>
                <w:snapToGrid w:val="0"/>
                <w:color w:val="000000"/>
                <w:sz w:val="16"/>
                <w:szCs w:val="16"/>
                <w:highlight w:val="none"/>
                <w:lang w:val="en-US" w:eastAsia="zh-CN" w:bidi="ar"/>
              </w:rPr>
              <w:t xml:space="preserve">3 </w:t>
            </w:r>
            <w:r>
              <w:rPr>
                <w:rStyle w:val="16"/>
                <w:rFonts w:hint="default" w:ascii="Times New Roman" w:hAnsi="Times New Roman" w:cs="Times New Roman"/>
                <w:snapToGrid w:val="0"/>
                <w:color w:val="000000"/>
                <w:sz w:val="16"/>
                <w:szCs w:val="16"/>
                <w:highlight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88B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C4B2">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B48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4974">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87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形势与政策</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81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CE6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FB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D7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3B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D9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DB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2D9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7"/>
                <w:rFonts w:hint="default" w:ascii="Times New Roman" w:hAnsi="Times New Roman" w:eastAsia="宋体" w:cs="Times New Roman"/>
                <w:snapToGrid w:val="0"/>
                <w:color w:val="000000"/>
                <w:sz w:val="16"/>
                <w:szCs w:val="16"/>
                <w:highlight w:val="none"/>
                <w:lang w:val="en-US" w:eastAsia="zh-CN" w:bidi="ar"/>
              </w:rPr>
              <w:t xml:space="preserve">※ </w:t>
            </w: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8D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7"/>
                <w:rFonts w:hint="default" w:ascii="Times New Roman" w:hAnsi="Times New Roman" w:eastAsia="宋体" w:cs="Times New Roman"/>
                <w:snapToGrid w:val="0"/>
                <w:color w:val="000000"/>
                <w:sz w:val="16"/>
                <w:szCs w:val="16"/>
                <w:highlight w:val="none"/>
                <w:lang w:val="en-US" w:eastAsia="zh-CN" w:bidi="ar"/>
              </w:rPr>
              <w:t xml:space="preserve">※ </w:t>
            </w: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4E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7"/>
                <w:rFonts w:hint="default" w:ascii="Times New Roman" w:hAnsi="Times New Roman" w:eastAsia="宋体" w:cs="Times New Roman"/>
                <w:snapToGrid w:val="0"/>
                <w:color w:val="000000"/>
                <w:sz w:val="16"/>
                <w:szCs w:val="16"/>
                <w:highlight w:val="none"/>
                <w:lang w:val="en-US" w:eastAsia="zh-CN" w:bidi="ar"/>
              </w:rPr>
              <w:t xml:space="preserve">※ </w:t>
            </w:r>
            <w:r>
              <w:rPr>
                <w:rStyle w:val="16"/>
                <w:rFonts w:hint="default" w:ascii="Times New Roman" w:hAnsi="Times New Roman" w:cs="Times New Roman"/>
                <w:snapToGrid w:val="0"/>
                <w:color w:val="000000"/>
                <w:sz w:val="16"/>
                <w:szCs w:val="16"/>
                <w:highlight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3C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3C8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716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9BA2">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64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国家安全教育</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2B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A31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37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2D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2F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79A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B7D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42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FEF7">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26D9">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F2F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D52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533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08E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E1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中华民族共同体概论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4C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A882">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8F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0A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AC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9B4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22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E33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C83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C574">
            <w:pPr>
              <w:spacing w:line="240" w:lineRule="auto"/>
              <w:jc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CA7B">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56D9">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F47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8D4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92C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大学语文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DD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529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63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公共教学部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B06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E0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D49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D8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77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B61D">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A97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AD0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408A">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24D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BB4D">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68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体育与健康</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F3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2F3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9C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u w:val="none"/>
                <w:lang w:val="en-US" w:eastAsia="zh-CN" w:bidi="ar"/>
              </w:rPr>
              <w:t>体育教学部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565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30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72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D9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2F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54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A9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3C9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BC7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A2FA">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D75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4BD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B8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《体育与健康》</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EDBB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E0A33">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0F7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u w:val="none"/>
                <w:lang w:val="en-US" w:eastAsia="zh-CN" w:bidi="ar"/>
              </w:rPr>
              <w:t>体育教学部</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8D06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65A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6EE7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1A1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8FE08">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B9E3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F6BC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AFB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AC0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2ED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A314">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0F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（模块化教学）</w:t>
            </w: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3478">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8C9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F8A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D1E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D109">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DA8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983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655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E22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816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836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41A9">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5D4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579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7F9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基础英语</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EC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w:t>
            </w:r>
            <w:r>
              <w:rPr>
                <w:rStyle w:val="17"/>
                <w:rFonts w:hint="default" w:ascii="Times New Roman" w:hAnsi="Times New Roman" w:eastAsia="宋体"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DF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1</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D6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u w:val="none"/>
                <w:lang w:val="en-US" w:eastAsia="zh-CN" w:bidi="ar"/>
              </w:rPr>
              <w:t>公共教学部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08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3B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5E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A7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EB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16E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D1BB">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053D">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CBF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0D21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D59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84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医学英语</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D5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B84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91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u w:val="none"/>
                <w:lang w:val="en-US" w:eastAsia="zh-CN" w:bidi="ar"/>
              </w:rPr>
              <w:t>公共教学部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17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ED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AF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72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C7B6">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98A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BA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C23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354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80C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51C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79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信息技术</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F44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A1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DE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u w:val="none"/>
                <w:lang w:val="en-US" w:eastAsia="zh-CN" w:bidi="ar"/>
              </w:rPr>
              <w:t>公共教学部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029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F5C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6D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66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ACE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91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D62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C50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22D5">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C61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AEE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28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大学生心理健康教育</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DD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8EC2">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B6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4E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D0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59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5D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57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812B">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6F48">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FFA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894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1D9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47B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7B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军事教育与技能训练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EE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D53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BF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五育教研室</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E3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C3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CF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1A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112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EB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46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E968">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EB0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48F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875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84BC">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EB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劳动教育</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6C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8ED2">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78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五育教研室</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C9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7E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E0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11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DD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95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7D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F9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D86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05F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C8A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47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学生体质健康监测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146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188F">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8E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u w:val="none"/>
                <w:lang w:val="en-US" w:eastAsia="zh-CN" w:bidi="ar"/>
              </w:rPr>
              <w:t>体育教学部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3D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40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B1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86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EE1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4888">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A0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EBE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8045">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760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C49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92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学生心理体验课堂</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90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73C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8C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马克思主义学院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08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52C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F5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CB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F09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2F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DE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D4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A9EE">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2A7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B2F3">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2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22C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必修课小计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8F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39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770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94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396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3A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374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BF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EA92">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sz w:val="16"/>
                <w:szCs w:val="16"/>
                <w:highlight w:val="none"/>
                <w:u w:val="none"/>
                <w:lang w:val="en-US" w:eastAsia="zh-CN"/>
              </w:rPr>
            </w:pPr>
            <w:r>
              <w:rPr>
                <w:rFonts w:hint="eastAsia" w:ascii="Times New Roman" w:hAnsi="Times New Roman" w:eastAsia="宋体" w:cs="Times New Roman"/>
                <w:i w:val="0"/>
                <w:iCs w:val="0"/>
                <w:color w:val="000000"/>
                <w:sz w:val="16"/>
                <w:szCs w:val="16"/>
                <w:highlight w:val="none"/>
                <w:u w:val="none"/>
                <w:lang w:val="en-US" w:eastAsia="zh-CN"/>
              </w:rPr>
              <w:t>9</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DEC0">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sz w:val="16"/>
                <w:szCs w:val="16"/>
                <w:highlight w:val="none"/>
                <w:u w:val="none"/>
                <w:lang w:val="en-US" w:eastAsia="zh-CN"/>
              </w:rPr>
            </w:pPr>
            <w:r>
              <w:rPr>
                <w:rFonts w:hint="eastAsia" w:ascii="Times New Roman" w:hAnsi="Times New Roman" w:eastAsia="宋体" w:cs="Times New Roman"/>
                <w:i w:val="0"/>
                <w:iCs w:val="0"/>
                <w:color w:val="000000"/>
                <w:sz w:val="16"/>
                <w:szCs w:val="16"/>
                <w:highlight w:val="none"/>
                <w:u w:val="none"/>
                <w:lang w:val="en-US" w:eastAsia="zh-CN"/>
              </w:rPr>
              <w:t>9</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21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A081">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AC0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4A5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B5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大学生职业生涯规划</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FB6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3C2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C5F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u w:val="none"/>
                <w:lang w:val="en-US" w:eastAsia="zh-CN" w:bidi="ar"/>
              </w:rPr>
              <w:t>大学生生涯教育教研室</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072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F6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9D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B2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6B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EA86">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A9B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EB3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3239">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8BA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CC3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F1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就业与创业指导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4C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44F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DA2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u w:val="none"/>
                <w:lang w:val="en-US" w:eastAsia="zh-CN" w:bidi="ar"/>
              </w:rPr>
              <w:t>大学生生涯教育教研室</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23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3B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19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5A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6AE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888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06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D04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95F4">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0ACE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274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A6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卫生法律法规</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9F1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22CD">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BA8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eastAsia" w:ascii="Times New Roman" w:hAnsi="Times New Roman" w:eastAsia="宋体" w:cs="Times New Roman"/>
                <w:i w:val="0"/>
                <w:iCs w:val="0"/>
                <w:snapToGrid w:val="0"/>
                <w:color w:val="000000"/>
                <w:kern w:val="0"/>
                <w:sz w:val="20"/>
                <w:szCs w:val="20"/>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DA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5A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7E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9A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B06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F9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9572">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1DC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3306">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85B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341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8F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急救知识与技术</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C9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ED6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32A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eastAsia" w:ascii="Times New Roman" w:hAnsi="Times New Roman" w:eastAsia="宋体" w:cs="Times New Roman"/>
                <w:i w:val="0"/>
                <w:iCs w:val="0"/>
                <w:snapToGrid w:val="0"/>
                <w:color w:val="000000"/>
                <w:kern w:val="0"/>
                <w:sz w:val="20"/>
                <w:szCs w:val="20"/>
                <w:u w:val="none"/>
                <w:lang w:val="en-US" w:eastAsia="zh-CN" w:bidi="ar"/>
              </w:rPr>
              <w:t>临床医学院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32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1F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B0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D2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88B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105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37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933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D66A">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09C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144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2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474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限定选修课小计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68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2E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FA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33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9E8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DE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3A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4E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755A">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537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0D3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8C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普通话实训与测试</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9F3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0DC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2E7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教务处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51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68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5E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D8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32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919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320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F9C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2DF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6D5D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9CB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AAB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7"/>
                <w:rFonts w:hint="default" w:ascii="Times New Roman" w:hAnsi="Times New Roman" w:eastAsia="宋体" w:cs="Times New Roman"/>
                <w:snapToGrid w:val="0"/>
                <w:color w:val="000000"/>
                <w:sz w:val="20"/>
                <w:szCs w:val="20"/>
                <w:highlight w:val="none"/>
                <w:lang w:val="en-US" w:eastAsia="zh-CN" w:bidi="ar"/>
              </w:rPr>
              <w:t>“</w:t>
            </w:r>
            <w:r>
              <w:rPr>
                <w:rStyle w:val="16"/>
                <w:rFonts w:hint="default" w:ascii="Times New Roman" w:hAnsi="Times New Roman" w:cs="Times New Roman"/>
                <w:snapToGrid w:val="0"/>
                <w:color w:val="000000"/>
                <w:sz w:val="20"/>
                <w:szCs w:val="20"/>
                <w:highlight w:val="none"/>
                <w:lang w:val="en-US" w:eastAsia="zh-CN" w:bidi="ar"/>
              </w:rPr>
              <w:t>四史</w:t>
            </w:r>
            <w:r>
              <w:rPr>
                <w:rStyle w:val="17"/>
                <w:rFonts w:hint="default" w:ascii="Times New Roman" w:hAnsi="Times New Roman" w:eastAsia="宋体" w:cs="Times New Roman"/>
                <w:snapToGrid w:val="0"/>
                <w:color w:val="000000"/>
                <w:sz w:val="20"/>
                <w:szCs w:val="20"/>
                <w:highlight w:val="none"/>
                <w:lang w:val="en-US" w:eastAsia="zh-CN" w:bidi="ar"/>
              </w:rPr>
              <w:t>”</w:t>
            </w:r>
            <w:r>
              <w:rPr>
                <w:rStyle w:val="16"/>
                <w:rFonts w:hint="default" w:ascii="Times New Roman" w:hAnsi="Times New Roman" w:cs="Times New Roman"/>
                <w:snapToGrid w:val="0"/>
                <w:color w:val="000000"/>
                <w:sz w:val="20"/>
                <w:szCs w:val="20"/>
                <w:highlight w:val="none"/>
                <w:lang w:val="en-US" w:eastAsia="zh-CN" w:bidi="ar"/>
              </w:rPr>
              <w:t>教育</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E7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57F3">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FD0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教务处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86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2A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13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0D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6FB7">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41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F8C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1E1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3782">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1EC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E73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23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中华优秀传统文化</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21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358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AB0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教务处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79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5B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78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1E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AD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B24C">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FE4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541D">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5F3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37E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47BD">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5D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大学美育</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32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2C0C">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AEB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教务处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7B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4A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C1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80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0C5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7909">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C5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185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CF66">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CFC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105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661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职业素养</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E2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732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592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教务处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0B2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76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F8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D5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EAE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AF9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7156">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4B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40F25">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6B34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99B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33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健康教育</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243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0A22">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E46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体育教学部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4E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D7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936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5A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7A3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A50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FC0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24E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86C4">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190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7261">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3F1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数智化</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D6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9B7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D8E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highlight w:val="none"/>
                <w:u w:val="none"/>
                <w:lang w:val="en-US" w:eastAsia="en-US" w:bidi="ar-SA"/>
              </w:rPr>
            </w:pPr>
            <w:r>
              <w:rPr>
                <w:rFonts w:hint="default" w:ascii="Times New Roman" w:hAnsi="Times New Roman" w:eastAsia="宋体" w:cs="Times New Roman"/>
                <w:i w:val="0"/>
                <w:iCs w:val="0"/>
                <w:snapToGrid w:val="0"/>
                <w:color w:val="000000"/>
                <w:kern w:val="0"/>
                <w:sz w:val="20"/>
                <w:szCs w:val="20"/>
                <w:highlight w:val="none"/>
                <w:u w:val="none"/>
                <w:lang w:val="en-US" w:eastAsia="en-US" w:bidi="ar-SA"/>
              </w:rPr>
              <w:t>公共基础学院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F3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EB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5F3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95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04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960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434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ECE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4E65">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0707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8D76">
            <w:pPr>
              <w:spacing w:line="240" w:lineRule="auto"/>
              <w:rPr>
                <w:rFonts w:hint="default" w:ascii="Times New Roman" w:hAnsi="Times New Roman" w:eastAsia="宋体" w:cs="Times New Roman"/>
                <w:i w:val="0"/>
                <w:iCs w:val="0"/>
                <w:color w:val="000000"/>
                <w:sz w:val="20"/>
                <w:szCs w:val="20"/>
                <w:highlight w:val="none"/>
                <w:u w:val="none"/>
              </w:rPr>
            </w:pPr>
          </w:p>
        </w:tc>
        <w:tc>
          <w:tcPr>
            <w:tcW w:w="2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B55E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公共通识选修课小计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3EE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D8E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87C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136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91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6EB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3E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3E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48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219F">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4BF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F39A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公共课合计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E8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0D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962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0D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566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24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396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5E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D8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r>
              <w:rPr>
                <w:rFonts w:hint="eastAsia"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08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lang w:val="en-US" w:eastAsia="zh-CN"/>
              </w:rPr>
            </w:pPr>
            <w:r>
              <w:rPr>
                <w:rFonts w:hint="eastAsia" w:ascii="Times New Roman" w:hAnsi="Times New Roman" w:eastAsia="宋体" w:cs="Times New Roman"/>
                <w:i w:val="0"/>
                <w:iCs w:val="0"/>
                <w:color w:val="000000"/>
                <w:sz w:val="16"/>
                <w:szCs w:val="16"/>
                <w:highlight w:val="none"/>
                <w:u w:val="none"/>
                <w:lang w:val="en-US" w:eastAsia="zh-CN"/>
              </w:rPr>
              <w:t>11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96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6513">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198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A5FD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专业基础课程必修</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FF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人体解剖学与组织胚胎学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72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CB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1</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0E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highlight w:val="none"/>
                <w:u w:val="none"/>
                <w:lang w:val="en-US" w:eastAsia="zh-CN" w:bidi="ar"/>
              </w:rPr>
              <w:t>基础</w:t>
            </w:r>
            <w:r>
              <w:rPr>
                <w:rFonts w:hint="default" w:ascii="Times New Roman" w:hAnsi="Times New Roman" w:eastAsia="宋体" w:cs="Times New Roman"/>
                <w:i w:val="0"/>
                <w:iCs w:val="0"/>
                <w:snapToGrid w:val="0"/>
                <w:color w:val="000000"/>
                <w:kern w:val="0"/>
                <w:sz w:val="20"/>
                <w:szCs w:val="20"/>
                <w:highlight w:val="none"/>
                <w:u w:val="none"/>
                <w:lang w:val="en-US" w:eastAsia="zh-CN" w:bidi="ar"/>
              </w:rPr>
              <w:t>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CE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6A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6E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9F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18</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FD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FADD">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F9A8">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6C3B">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57BA">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109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AD8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46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生理学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12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8553">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31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基础医学院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8E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73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AF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CB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B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2E7B">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004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C4B8">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85A2">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BD1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298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7B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生物化学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FC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84D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8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snapToGrid w:val="0"/>
                <w:color w:val="000000"/>
                <w:kern w:val="0"/>
                <w:sz w:val="20"/>
                <w:szCs w:val="20"/>
                <w:highlight w:val="none"/>
                <w:u w:val="none"/>
                <w:lang w:val="en-US" w:eastAsia="zh-CN" w:bidi="ar"/>
              </w:rPr>
              <w:t>医学技术与工程学院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F4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37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7F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920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2F3B">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DB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2B3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15DE">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50E6">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988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F022">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27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病原生物与免疫学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50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163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DC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highlight w:val="none"/>
                <w:u w:val="none"/>
                <w:lang w:val="en-US" w:eastAsia="zh-CN" w:bidi="ar"/>
              </w:rPr>
              <w:t>医学技术与工程学院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0D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C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14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E2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D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23E2">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79F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7B00">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7D69">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F3B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09F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2D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病理与病理生理学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EF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E383">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97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基础医学院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14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1E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51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1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059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584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2A1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1DB2">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627E">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B1A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1164">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D6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临床医学概论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F47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1A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A4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临床医学院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A6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67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46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1F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E84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9E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FF8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F6C0">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FB2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8D1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15B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8A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药理学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B3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D69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31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snapToGrid w:val="0"/>
                <w:color w:val="000000"/>
                <w:kern w:val="0"/>
                <w:sz w:val="20"/>
                <w:szCs w:val="20"/>
                <w:highlight w:val="none"/>
                <w:u w:val="none"/>
                <w:lang w:val="en-US" w:eastAsia="zh-CN" w:bidi="ar"/>
              </w:rPr>
              <w:t>药</w:t>
            </w:r>
            <w:r>
              <w:rPr>
                <w:rFonts w:hint="default" w:ascii="Times New Roman" w:hAnsi="Times New Roman" w:eastAsia="宋体" w:cs="Times New Roman"/>
                <w:i w:val="0"/>
                <w:iCs w:val="0"/>
                <w:snapToGrid w:val="0"/>
                <w:color w:val="000000"/>
                <w:kern w:val="0"/>
                <w:sz w:val="20"/>
                <w:szCs w:val="20"/>
                <w:highlight w:val="none"/>
                <w:u w:val="none"/>
                <w:lang w:val="en-US" w:eastAsia="zh-CN" w:bidi="ar"/>
              </w:rPr>
              <w:t>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2B1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1A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8A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FF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0A1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F5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0E39">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F171">
            <w:pPr>
              <w:spacing w:line="240" w:lineRule="auto"/>
              <w:jc w:val="left"/>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A139">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778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C281">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E5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20"/>
                <w:rFonts w:hint="default" w:ascii="Times New Roman" w:hAnsi="Times New Roman" w:cs="Times New Roman"/>
                <w:snapToGrid w:val="0"/>
                <w:color w:val="000000"/>
                <w:sz w:val="20"/>
                <w:szCs w:val="20"/>
                <w:highlight w:val="none"/>
                <w:lang w:val="en-US" w:eastAsia="zh-CN" w:bidi="ar"/>
              </w:rPr>
              <w:t>专业基础课小计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7E9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2E6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9DA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59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D1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304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F6E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252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2A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24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8F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AE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D8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23B3">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CBE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B78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专业核心课程必修</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C3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口腔解剖生理学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1A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21"/>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AA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FB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17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60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DB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72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DA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FB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B0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00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DED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3FF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867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B72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05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口腔组织病理学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FD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34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3</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A6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CC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8E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64</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97E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F1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2A3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4B9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C0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D7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7EE9">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7A2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C7BC">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23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口腔修复学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F5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FCD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3.4</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D5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C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374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A57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72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DE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C2D">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E09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4A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21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D25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DC6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159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35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口腔内科学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A2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71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3.4</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98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73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C4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AC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C5E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48</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D0AD">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21E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36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10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D30C">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0EC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1511">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60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口腔颌面外科学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55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285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5E4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81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7A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96</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6EA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72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1D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CA1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3A0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47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50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173C">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B49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39FE">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D0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口腔预防医学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AE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936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79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42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D9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0F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F2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8D4B">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8C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69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6CA0">
            <w:pPr>
              <w:spacing w:line="240" w:lineRule="auto"/>
              <w:jc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FC16">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5E7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0458">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A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口腔颌面医学影像诊断学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57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D2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69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290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8A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51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26</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B5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C1F2">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44A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6B96">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00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AC8F">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DD4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AC41">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2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D7F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20"/>
                <w:rFonts w:hint="default" w:ascii="Times New Roman" w:hAnsi="Times New Roman" w:cs="Times New Roman"/>
                <w:snapToGrid w:val="0"/>
                <w:color w:val="000000"/>
                <w:sz w:val="20"/>
                <w:szCs w:val="20"/>
                <w:highlight w:val="none"/>
                <w:lang w:val="en-US" w:eastAsia="zh-CN" w:bidi="ar"/>
              </w:rPr>
              <w:t>专业核心课程小计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1D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F0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608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FB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398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24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210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84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5A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15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r>
              <w:rPr>
                <w:rFonts w:hint="eastAsia"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30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r>
              <w:rPr>
                <w:rFonts w:hint="eastAsia"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87F2">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24B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F662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专业必修课小计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E2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57</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83E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912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5C7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650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74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262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85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32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A4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r>
              <w:rPr>
                <w:rFonts w:hint="eastAsia"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50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lang w:val="en-US" w:eastAsia="zh-CN"/>
              </w:rPr>
            </w:pPr>
            <w:r>
              <w:rPr>
                <w:rFonts w:hint="eastAsia" w:ascii="Times New Roman" w:hAnsi="Times New Roman" w:eastAsia="宋体" w:cs="Times New Roman"/>
                <w:i w:val="0"/>
                <w:iCs w:val="0"/>
                <w:color w:val="000000"/>
                <w:sz w:val="16"/>
                <w:szCs w:val="16"/>
                <w:highlight w:val="none"/>
                <w:u w:val="none"/>
                <w:lang w:val="en-US" w:eastAsia="zh-CN"/>
              </w:rPr>
              <w:t>16</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2E3D">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9E3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42F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专业拓展课程限选</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E05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口腔正畸学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FCA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AEE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9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1D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75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55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26</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2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B4D7">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9BF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0BD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F7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59F0">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BE1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164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A3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口腔材料学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AC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DBE7">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C4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BE0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CB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0A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26</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74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94A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2DF1">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B20D">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21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5DE7">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856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886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58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口腔医学美学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D2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4F6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25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28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00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52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26</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77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1812">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D40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E39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6B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B4AB">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81F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A5B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71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口腔数字化技术</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92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8A16">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5E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26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F4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2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C3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9A55">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CA3C">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78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5D30">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19BC">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11F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A7C4">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B8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口腔护理技术</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C62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9"/>
                <w:rFonts w:hint="default" w:ascii="Times New Roman" w:hAnsi="Times New Roman" w:eastAsia="宋体" w:cs="Times New Roman"/>
                <w:snapToGrid w:val="0"/>
                <w:color w:val="000000"/>
                <w:sz w:val="20"/>
                <w:szCs w:val="20"/>
                <w:highlight w:val="none"/>
                <w:lang w:val="en-US" w:eastAsia="zh-CN" w:bidi="ar"/>
              </w:rPr>
              <w:t>●</w:t>
            </w:r>
            <w:r>
              <w:rPr>
                <w:rStyle w:val="18"/>
                <w:rFonts w:hint="default" w:ascii="Times New Roman" w:hAnsi="Times New Roman" w:cs="Times New Roman"/>
                <w:snapToGrid w:val="0"/>
                <w:color w:val="000000"/>
                <w:sz w:val="20"/>
                <w:szCs w:val="20"/>
                <w:highlight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4F35">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C3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D92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11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14</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D0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6E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570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E856">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96F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BD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/2×7</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1968">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5A2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ED5B">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7B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口腔设备学</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12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9B9">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C8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56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BD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E5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5A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516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704E">
            <w:pPr>
              <w:spacing w:line="240" w:lineRule="auto"/>
              <w:jc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153F">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DF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F21E">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29FA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E38C">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18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8"/>
                <w:rFonts w:hint="default" w:ascii="Times New Roman" w:hAnsi="Times New Roman" w:cs="Times New Roman"/>
                <w:snapToGrid w:val="0"/>
                <w:color w:val="000000"/>
                <w:sz w:val="20"/>
                <w:szCs w:val="20"/>
                <w:highlight w:val="none"/>
                <w:lang w:val="en-US" w:eastAsia="zh-CN" w:bidi="ar"/>
              </w:rPr>
              <w:t>临床技能综合实训</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86C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940A">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8AF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5CD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8B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8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7F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E9E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1D2A">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D48">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E8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E991">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5215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F6A4">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02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FF0000"/>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执业医师资格考试指导</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57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51A0">
            <w:pPr>
              <w:spacing w:line="240" w:lineRule="auto"/>
              <w:jc w:val="center"/>
              <w:rPr>
                <w:rFonts w:hint="default" w:ascii="Times New Roman" w:hAnsi="Times New Roman" w:eastAsia="宋体" w:cs="Times New Roman"/>
                <w:i w:val="0"/>
                <w:iCs w:val="0"/>
                <w:color w:val="000000"/>
                <w:sz w:val="20"/>
                <w:szCs w:val="20"/>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C40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口腔医学院</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AF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F1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C10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24</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D1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85B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2192">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110E">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61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CDE7">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3D8B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3774">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2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3262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专业限选课小计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E84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E1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238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EE1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007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74</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A24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362B">
            <w:pPr>
              <w:keepNext w:val="0"/>
              <w:keepLines w:val="0"/>
              <w:widowControl/>
              <w:suppressLineNumbers w:val="0"/>
              <w:jc w:val="center"/>
              <w:textAlignment w:val="center"/>
              <w:rPr>
                <w:rFonts w:hint="eastAsia" w:ascii="Times New Roman" w:hAnsi="Times New Roman" w:eastAsia="宋体" w:cs="Times New Roman"/>
                <w:i w:val="0"/>
                <w:iCs w:val="0"/>
                <w:color w:val="000000"/>
                <w:sz w:val="16"/>
                <w:szCs w:val="16"/>
                <w:highlight w:val="none"/>
                <w:u w:val="none"/>
                <w:lang w:val="en-US" w:eastAsia="zh-CN"/>
              </w:rPr>
            </w:pPr>
            <w:r>
              <w:rPr>
                <w:rFonts w:hint="eastAsia" w:ascii="Times New Roman" w:hAnsi="Times New Roman" w:eastAsia="宋体" w:cs="Times New Roman"/>
                <w:i w:val="0"/>
                <w:iCs w:val="0"/>
                <w:color w:val="000000"/>
                <w:sz w:val="16"/>
                <w:szCs w:val="16"/>
                <w:highlight w:val="none"/>
                <w:u w:val="none"/>
                <w:lang w:val="en-US" w:eastAsia="zh-CN"/>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01B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786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u w:val="none"/>
                <w:lang w:val="en-US" w:eastAsia="zh-CN" w:bidi="ar"/>
              </w:rPr>
              <w:t>1</w:t>
            </w:r>
            <w:r>
              <w:rPr>
                <w:rFonts w:hint="eastAsia" w:ascii="Times New Roman" w:hAnsi="Times New Roman" w:eastAsia="宋体" w:cs="Times New Roman"/>
                <w:i w:val="0"/>
                <w:iCs w:val="0"/>
                <w:snapToGrid w:val="0"/>
                <w:color w:val="000000"/>
                <w:kern w:val="0"/>
                <w:sz w:val="16"/>
                <w:szCs w:val="16"/>
                <w:u w:val="none"/>
                <w:lang w:val="en-US" w:eastAsia="zh-CN" w:bidi="ar"/>
              </w:rPr>
              <w:t>1</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0DD7">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F0E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3F95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专业课小计</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B57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72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75B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1150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6A5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814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CC8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336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4C0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43C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u w:val="none"/>
                <w:lang w:val="en-US" w:eastAsia="zh-CN" w:bidi="ar"/>
              </w:rPr>
              <w:t>1</w:t>
            </w:r>
            <w:r>
              <w:rPr>
                <w:rFonts w:hint="eastAsia" w:ascii="Times New Roman" w:hAnsi="Times New Roman" w:eastAsia="宋体" w:cs="Times New Roman"/>
                <w:i w:val="0"/>
                <w:iCs w:val="0"/>
                <w:snapToGrid w:val="0"/>
                <w:color w:val="000000"/>
                <w:kern w:val="0"/>
                <w:sz w:val="16"/>
                <w:szCs w:val="16"/>
                <w:u w:val="none"/>
                <w:lang w:val="en-US" w:eastAsia="zh-CN" w:bidi="ar"/>
              </w:rPr>
              <w:t>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82B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u w:val="none"/>
                <w:lang w:val="en-US" w:eastAsia="zh-CN" w:bidi="ar"/>
              </w:rPr>
              <w:t>1</w:t>
            </w:r>
            <w:r>
              <w:rPr>
                <w:rFonts w:hint="eastAsia" w:ascii="Times New Roman" w:hAnsi="Times New Roman" w:eastAsia="宋体" w:cs="Times New Roman"/>
                <w:i w:val="0"/>
                <w:iCs w:val="0"/>
                <w:snapToGrid w:val="0"/>
                <w:color w:val="000000"/>
                <w:kern w:val="0"/>
                <w:sz w:val="16"/>
                <w:szCs w:val="16"/>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E12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lang w:val="en-US"/>
              </w:rPr>
            </w:pPr>
            <w:r>
              <w:rPr>
                <w:rFonts w:hint="default" w:ascii="Times New Roman" w:hAnsi="Times New Roman" w:eastAsia="宋体" w:cs="Times New Roman"/>
                <w:i w:val="0"/>
                <w:iCs w:val="0"/>
                <w:snapToGrid w:val="0"/>
                <w:color w:val="000000"/>
                <w:kern w:val="0"/>
                <w:sz w:val="16"/>
                <w:szCs w:val="16"/>
                <w:u w:val="none"/>
                <w:lang w:val="en-US" w:eastAsia="zh-CN" w:bidi="ar"/>
              </w:rPr>
              <w:t>2</w:t>
            </w:r>
            <w:r>
              <w:rPr>
                <w:rFonts w:hint="eastAsia" w:ascii="Times New Roman" w:hAnsi="Times New Roman" w:eastAsia="宋体" w:cs="Times New Roman"/>
                <w:i w:val="0"/>
                <w:iCs w:val="0"/>
                <w:snapToGrid w:val="0"/>
                <w:color w:val="000000"/>
                <w:kern w:val="0"/>
                <w:sz w:val="16"/>
                <w:szCs w:val="16"/>
                <w:u w:val="none"/>
                <w:lang w:val="en-US" w:eastAsia="zh-CN" w:bidi="ar"/>
              </w:rPr>
              <w:t>7</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A766">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495F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DFB1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毕业实习</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2F3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32</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FA8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800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12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23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800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5A9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02A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0C8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EF5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0</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5B65">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9A3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C83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总学分数、总学时数、周学时数</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8A4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162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C20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2912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0C0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1380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680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1532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EEC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11C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26</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4AC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059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u w:val="none"/>
                <w:lang w:val="en-US" w:eastAsia="zh-CN" w:bidi="ar"/>
              </w:rPr>
              <w:t>28</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14E3">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10C8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7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FA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snapToGrid w:val="0"/>
                <w:color w:val="000000"/>
                <w:kern w:val="0"/>
                <w:sz w:val="20"/>
                <w:szCs w:val="20"/>
                <w:highlight w:val="none"/>
                <w:u w:val="none"/>
                <w:lang w:val="en-US" w:eastAsia="zh-CN" w:bidi="ar"/>
              </w:rPr>
              <w:t xml:space="preserve">毕业考试科目：   </w:t>
            </w:r>
            <w:r>
              <w:rPr>
                <w:rFonts w:hint="default" w:ascii="Times New Roman" w:hAnsi="Times New Roman" w:eastAsia="宋体" w:cs="Times New Roman"/>
                <w:i w:val="0"/>
                <w:iCs w:val="0"/>
                <w:snapToGrid w:val="0"/>
                <w:color w:val="000000"/>
                <w:kern w:val="0"/>
                <w:sz w:val="20"/>
                <w:szCs w:val="20"/>
                <w:highlight w:val="none"/>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highlight w:val="none"/>
                <w:u w:val="none"/>
                <w:lang w:val="en-US" w:eastAsia="zh-CN" w:bidi="ar"/>
              </w:rPr>
              <w:t>1.口腔基础医学理论综合</w:t>
            </w:r>
            <w:r>
              <w:rPr>
                <w:rFonts w:hint="default" w:ascii="Times New Roman" w:hAnsi="Times New Roman" w:eastAsia="宋体" w:cs="Times New Roman"/>
                <w:i w:val="0"/>
                <w:iCs w:val="0"/>
                <w:snapToGrid w:val="0"/>
                <w:color w:val="000000"/>
                <w:kern w:val="0"/>
                <w:sz w:val="20"/>
                <w:szCs w:val="20"/>
                <w:highlight w:val="none"/>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highlight w:val="none"/>
                <w:u w:val="none"/>
                <w:lang w:val="en-US" w:eastAsia="zh-CN" w:bidi="ar"/>
              </w:rPr>
              <w:t xml:space="preserve">    2.口腔临床医学理论综合（一）</w:t>
            </w:r>
            <w:r>
              <w:rPr>
                <w:rFonts w:hint="default" w:ascii="Times New Roman" w:hAnsi="Times New Roman" w:eastAsia="宋体" w:cs="Times New Roman"/>
                <w:i w:val="0"/>
                <w:iCs w:val="0"/>
                <w:snapToGrid w:val="0"/>
                <w:color w:val="000000"/>
                <w:kern w:val="0"/>
                <w:sz w:val="20"/>
                <w:szCs w:val="20"/>
                <w:highlight w:val="none"/>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highlight w:val="none"/>
                <w:u w:val="none"/>
                <w:lang w:val="en-US" w:eastAsia="zh-CN" w:bidi="ar"/>
              </w:rPr>
              <w:t xml:space="preserve">    3.口腔临床医学理论综合（二）</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FC5E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每学期开课门次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61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合计</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82E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D4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38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98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12</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4170">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C3B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7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53853">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F9C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考试门次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9C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合计</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00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C1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92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88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3</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1BAC">
            <w:pPr>
              <w:spacing w:line="240" w:lineRule="auto"/>
              <w:jc w:val="center"/>
              <w:rPr>
                <w:rFonts w:hint="default" w:ascii="Times New Roman" w:hAnsi="Times New Roman" w:eastAsia="宋体" w:cs="Times New Roman"/>
                <w:i w:val="0"/>
                <w:iCs w:val="0"/>
                <w:color w:val="000000"/>
                <w:sz w:val="16"/>
                <w:szCs w:val="16"/>
                <w:highlight w:val="none"/>
                <w:u w:val="none"/>
              </w:rPr>
            </w:pPr>
          </w:p>
        </w:tc>
      </w:tr>
      <w:tr w14:paraId="77BD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7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EE39">
            <w:pPr>
              <w:spacing w:line="240" w:lineRule="auto"/>
              <w:jc w:val="center"/>
              <w:rPr>
                <w:rFonts w:hint="default" w:ascii="Times New Roman" w:hAnsi="Times New Roman" w:eastAsia="宋体" w:cs="Times New Roman"/>
                <w:i w:val="0"/>
                <w:iCs w:val="0"/>
                <w:color w:val="000000"/>
                <w:sz w:val="16"/>
                <w:szCs w:val="16"/>
                <w:highlight w:val="none"/>
                <w:u w:val="none"/>
              </w:rPr>
            </w:pP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847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Style w:val="16"/>
                <w:rFonts w:hint="default" w:ascii="Times New Roman" w:hAnsi="Times New Roman" w:cs="Times New Roman"/>
                <w:snapToGrid w:val="0"/>
                <w:color w:val="000000"/>
                <w:sz w:val="20"/>
                <w:szCs w:val="20"/>
                <w:highlight w:val="none"/>
                <w:lang w:val="en-US" w:eastAsia="zh-CN" w:bidi="ar"/>
              </w:rPr>
              <w:t>考查门次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D9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Style w:val="16"/>
                <w:rFonts w:hint="default" w:ascii="Times New Roman" w:hAnsi="Times New Roman" w:cs="Times New Roman"/>
                <w:snapToGrid w:val="0"/>
                <w:color w:val="000000"/>
                <w:sz w:val="16"/>
                <w:szCs w:val="16"/>
                <w:highlight w:val="none"/>
                <w:lang w:val="en-US" w:eastAsia="zh-CN" w:bidi="ar"/>
              </w:rPr>
              <w:t>合计</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B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8B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99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00E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snapToGrid w:val="0"/>
                <w:color w:val="000000"/>
                <w:kern w:val="0"/>
                <w:sz w:val="16"/>
                <w:szCs w:val="16"/>
                <w:highlight w:val="none"/>
                <w:u w:val="none"/>
                <w:lang w:val="en-US" w:eastAsia="zh-CN" w:bidi="ar"/>
              </w:rPr>
              <w:t>9</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BD6E">
            <w:pPr>
              <w:spacing w:line="240" w:lineRule="auto"/>
              <w:jc w:val="center"/>
              <w:rPr>
                <w:rFonts w:hint="default" w:ascii="Times New Roman" w:hAnsi="Times New Roman" w:eastAsia="宋体" w:cs="Times New Roman"/>
                <w:i w:val="0"/>
                <w:iCs w:val="0"/>
                <w:color w:val="000000"/>
                <w:sz w:val="16"/>
                <w:szCs w:val="16"/>
                <w:highlight w:val="none"/>
                <w:u w:val="none"/>
              </w:rPr>
            </w:pPr>
          </w:p>
        </w:tc>
      </w:tr>
    </w:tbl>
    <w:p w14:paraId="7E4A0D61">
      <w:pPr>
        <w:keepNext w:val="0"/>
        <w:keepLines w:val="0"/>
        <w:pageBreakBefore w:val="0"/>
        <w:widowControl/>
        <w:suppressLineNumbers w:val="0"/>
        <w:kinsoku/>
        <w:wordWrap/>
        <w:topLinePunct w:val="0"/>
        <w:bidi w:val="0"/>
        <w:jc w:val="left"/>
        <w:textAlignment w:val="center"/>
        <w:rPr>
          <w:rFonts w:hint="default" w:ascii="Times New Roman" w:hAnsi="Times New Roman" w:eastAsia="宋体" w:cs="Times New Roman"/>
          <w:i w:val="0"/>
          <w:iCs w:val="0"/>
          <w:snapToGrid w:val="0"/>
          <w:color w:val="auto"/>
          <w:kern w:val="0"/>
          <w:sz w:val="16"/>
          <w:szCs w:val="16"/>
          <w:u w:val="none"/>
          <w:lang w:val="en-US" w:eastAsia="zh-CN" w:bidi="ar"/>
        </w:rPr>
      </w:pPr>
    </w:p>
    <w:p w14:paraId="4B3A7491">
      <w:pPr>
        <w:keepNext w:val="0"/>
        <w:keepLines w:val="0"/>
        <w:pageBreakBefore w:val="0"/>
        <w:widowControl/>
        <w:suppressLineNumbers w:val="0"/>
        <w:kinsoku/>
        <w:wordWrap/>
        <w:topLinePunct w:val="0"/>
        <w:bidi w:val="0"/>
        <w:jc w:val="left"/>
        <w:textAlignment w:val="center"/>
        <w:rPr>
          <w:rFonts w:hint="default" w:ascii="Times New Roman" w:hAnsi="Times New Roman" w:eastAsia="仿宋" w:cs="Times New Roman"/>
          <w:i w:val="0"/>
          <w:iCs w:val="0"/>
          <w:snapToGrid w:val="0"/>
          <w:color w:val="auto"/>
          <w:kern w:val="0"/>
          <w:sz w:val="28"/>
          <w:szCs w:val="28"/>
          <w:u w:val="none"/>
          <w:lang w:val="en-US" w:eastAsia="zh-CN" w:bidi="ar"/>
        </w:rPr>
      </w:pPr>
      <w:r>
        <w:rPr>
          <w:rFonts w:hint="default" w:ascii="Times New Roman" w:hAnsi="Times New Roman" w:eastAsia="仿宋" w:cs="Times New Roman"/>
          <w:i w:val="0"/>
          <w:iCs w:val="0"/>
          <w:snapToGrid w:val="0"/>
          <w:color w:val="auto"/>
          <w:kern w:val="0"/>
          <w:sz w:val="28"/>
          <w:szCs w:val="28"/>
          <w:u w:val="none"/>
          <w:lang w:val="en-US" w:eastAsia="zh-CN" w:bidi="ar"/>
        </w:rPr>
        <w:t>注：※表示线上通识课，由学生课余在线上自主学习；❖表示课外实践，由学生根据专业或相关部门的安排自主选择时间完成。</w:t>
      </w:r>
    </w:p>
    <w:p w14:paraId="46FA8B4A">
      <w:pPr>
        <w:keepNext w:val="0"/>
        <w:keepLines w:val="0"/>
        <w:pageBreakBefore w:val="0"/>
        <w:widowControl/>
        <w:suppressLineNumbers w:val="0"/>
        <w:kinsoku/>
        <w:wordWrap/>
        <w:topLinePunct w:val="0"/>
        <w:bidi w:val="0"/>
        <w:jc w:val="left"/>
        <w:textAlignment w:val="center"/>
        <w:rPr>
          <w:rFonts w:hint="default" w:ascii="Times New Roman" w:hAnsi="Times New Roman" w:eastAsia="仿宋" w:cs="Times New Roman"/>
          <w:snapToGrid w:val="0"/>
          <w:color w:val="auto"/>
          <w:spacing w:val="-1"/>
          <w:kern w:val="0"/>
          <w:sz w:val="28"/>
          <w:szCs w:val="28"/>
          <w:lang w:val="en-US" w:eastAsia="zh-CN" w:bidi="ar-SA"/>
        </w:rPr>
      </w:pPr>
      <w:r>
        <w:rPr>
          <w:rFonts w:hint="default" w:ascii="Times New Roman" w:hAnsi="Times New Roman" w:eastAsia="仿宋" w:cs="Times New Roman"/>
          <w:i w:val="0"/>
          <w:iCs w:val="0"/>
          <w:snapToGrid w:val="0"/>
          <w:color w:val="auto"/>
          <w:kern w:val="0"/>
          <w:sz w:val="28"/>
          <w:szCs w:val="28"/>
          <w:u w:val="none"/>
          <w:lang w:val="en-US" w:eastAsia="zh-CN" w:bidi="ar"/>
        </w:rPr>
        <w:t>考核方式：★表示考核方式为考试，●表示考核方式为考查。</w:t>
      </w:r>
      <w:r>
        <w:rPr>
          <w:rFonts w:hint="default" w:ascii="Times New Roman" w:hAnsi="Times New Roman" w:eastAsia="仿宋" w:cs="Times New Roman"/>
          <w:snapToGrid w:val="0"/>
          <w:color w:val="auto"/>
          <w:spacing w:val="-1"/>
          <w:kern w:val="0"/>
          <w:sz w:val="28"/>
          <w:szCs w:val="28"/>
          <w:lang w:val="en-US" w:eastAsia="zh-CN" w:bidi="ar-SA"/>
        </w:rPr>
        <w:t xml:space="preserve"> </w:t>
      </w:r>
    </w:p>
    <w:p w14:paraId="71346143">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rPr>
      </w:pPr>
      <w:bookmarkStart w:id="17" w:name="_Toc12105"/>
      <w:r>
        <w:rPr>
          <w:rFonts w:hint="default" w:ascii="Times New Roman" w:hAnsi="Times New Roman" w:cs="Times New Roman"/>
          <w:b/>
          <w:bCs/>
          <w:color w:val="auto"/>
          <w:spacing w:val="4"/>
        </w:rPr>
        <w:t>（三）第二课堂安排表</w:t>
      </w:r>
      <w:bookmarkEnd w:id="17"/>
    </w:p>
    <w:p w14:paraId="746C7885">
      <w:pPr>
        <w:keepNext w:val="0"/>
        <w:keepLines w:val="0"/>
        <w:pageBreakBefore w:val="0"/>
        <w:kinsoku/>
        <w:wordWrap/>
        <w:topLinePunct w:val="0"/>
        <w:bidi w:val="0"/>
        <w:spacing w:line="30" w:lineRule="auto"/>
        <w:rPr>
          <w:rFonts w:hint="default" w:ascii="Times New Roman" w:hAnsi="Times New Roman" w:cs="Times New Roman"/>
          <w:color w:val="auto"/>
          <w:sz w:val="2"/>
        </w:rPr>
      </w:pPr>
    </w:p>
    <w:tbl>
      <w:tblPr>
        <w:tblStyle w:val="9"/>
        <w:tblW w:w="8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9"/>
        <w:gridCol w:w="720"/>
        <w:gridCol w:w="780"/>
        <w:gridCol w:w="825"/>
        <w:gridCol w:w="750"/>
        <w:gridCol w:w="720"/>
        <w:gridCol w:w="750"/>
        <w:gridCol w:w="725"/>
      </w:tblGrid>
      <w:tr w14:paraId="1710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6CA23">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教学内容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EDDE9">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学</w:t>
            </w:r>
            <w:r>
              <w:rPr>
                <w:rFonts w:hint="default" w:ascii="Times New Roman" w:hAnsi="Times New Roman" w:eastAsia="仿宋" w:cs="Times New Roman"/>
                <w:i w:val="0"/>
                <w:iCs w:val="0"/>
                <w:snapToGrid w:val="0"/>
                <w:color w:val="auto"/>
                <w:kern w:val="0"/>
                <w:sz w:val="28"/>
                <w:szCs w:val="28"/>
                <w:u w:val="none"/>
                <w:lang w:val="en-US" w:eastAsia="zh-CN" w:bidi="ar"/>
              </w:rPr>
              <w:t xml:space="preserve"> </w:t>
            </w:r>
            <w:r>
              <w:rPr>
                <w:rFonts w:hint="default" w:ascii="Times New Roman" w:hAnsi="Times New Roman" w:eastAsia="仿宋" w:cs="Times New Roman"/>
                <w:b/>
                <w:bCs/>
                <w:i w:val="0"/>
                <w:iCs w:val="0"/>
                <w:snapToGrid w:val="0"/>
                <w:color w:val="auto"/>
                <w:kern w:val="0"/>
                <w:sz w:val="28"/>
                <w:szCs w:val="28"/>
                <w:u w:val="none"/>
                <w:lang w:val="en-US" w:eastAsia="zh-CN" w:bidi="ar"/>
              </w:rPr>
              <w:t>分</w:t>
            </w:r>
          </w:p>
        </w:tc>
        <w:tc>
          <w:tcPr>
            <w:tcW w:w="4550"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70B79500">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实践学时</w:t>
            </w:r>
          </w:p>
        </w:tc>
      </w:tr>
      <w:tr w14:paraId="6EA1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4A7FC">
            <w:pPr>
              <w:keepNext w:val="0"/>
              <w:keepLines w:val="0"/>
              <w:pageBreakBefore w:val="0"/>
              <w:kinsoku/>
              <w:wordWrap/>
              <w:topLinePunct w:val="0"/>
              <w:bidi w:val="0"/>
              <w:jc w:val="center"/>
              <w:rPr>
                <w:rFonts w:hint="default" w:ascii="Times New Roman" w:hAnsi="Times New Roman" w:eastAsia="仿宋" w:cs="Times New Roman"/>
                <w:b/>
                <w:bCs/>
                <w:i w:val="0"/>
                <w:iCs w:val="0"/>
                <w:color w:val="auto"/>
                <w:sz w:val="28"/>
                <w:szCs w:val="2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DF45">
            <w:pPr>
              <w:keepNext w:val="0"/>
              <w:keepLines w:val="0"/>
              <w:pageBreakBefore w:val="0"/>
              <w:kinsoku/>
              <w:wordWrap/>
              <w:topLinePunct w:val="0"/>
              <w:bidi w:val="0"/>
              <w:jc w:val="center"/>
              <w:rPr>
                <w:rFonts w:hint="default" w:ascii="Times New Roman" w:hAnsi="Times New Roman" w:eastAsia="仿宋" w:cs="Times New Roman"/>
                <w:b/>
                <w:bCs/>
                <w:i w:val="0"/>
                <w:iCs w:val="0"/>
                <w:color w:val="auto"/>
                <w:sz w:val="28"/>
                <w:szCs w:val="28"/>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883E">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第一学年</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C731D">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第二学年</w:t>
            </w:r>
          </w:p>
        </w:tc>
        <w:tc>
          <w:tcPr>
            <w:tcW w:w="14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F4C971D">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第三学年</w:t>
            </w:r>
          </w:p>
        </w:tc>
      </w:tr>
      <w:tr w14:paraId="1A61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56FA">
            <w:pPr>
              <w:keepNext w:val="0"/>
              <w:keepLines w:val="0"/>
              <w:pageBreakBefore w:val="0"/>
              <w:kinsoku/>
              <w:wordWrap/>
              <w:topLinePunct w:val="0"/>
              <w:bidi w:val="0"/>
              <w:jc w:val="center"/>
              <w:rPr>
                <w:rFonts w:hint="default" w:ascii="Times New Roman" w:hAnsi="Times New Roman" w:eastAsia="仿宋" w:cs="Times New Roman"/>
                <w:b/>
                <w:bCs/>
                <w:i w:val="0"/>
                <w:iCs w:val="0"/>
                <w:color w:val="auto"/>
                <w:sz w:val="28"/>
                <w:szCs w:val="2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A7898">
            <w:pPr>
              <w:keepNext w:val="0"/>
              <w:keepLines w:val="0"/>
              <w:pageBreakBefore w:val="0"/>
              <w:kinsoku/>
              <w:wordWrap/>
              <w:topLinePunct w:val="0"/>
              <w:bidi w:val="0"/>
              <w:jc w:val="center"/>
              <w:rPr>
                <w:rFonts w:hint="default" w:ascii="Times New Roman" w:hAnsi="Times New Roman" w:eastAsia="仿宋" w:cs="Times New Roman"/>
                <w:b/>
                <w:bCs/>
                <w:i w:val="0"/>
                <w:iCs w:val="0"/>
                <w:color w:val="auto"/>
                <w:sz w:val="28"/>
                <w:szCs w:val="2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41F">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F025">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6E0D">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6A2">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38D">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五</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2666">
            <w:pPr>
              <w:keepNext w:val="0"/>
              <w:keepLines w:val="0"/>
              <w:pageBreakBefore w:val="0"/>
              <w:widowControl/>
              <w:suppressLineNumbers w:val="0"/>
              <w:kinsoku/>
              <w:wordWrap/>
              <w:topLinePunct w:val="0"/>
              <w:bidi w:val="0"/>
              <w:jc w:val="center"/>
              <w:textAlignment w:val="center"/>
              <w:rPr>
                <w:rFonts w:hint="default" w:ascii="Times New Roman" w:hAnsi="Times New Roman" w:eastAsia="仿宋" w:cs="Times New Roman"/>
                <w:b/>
                <w:bCs/>
                <w:i w:val="0"/>
                <w:iCs w:val="0"/>
                <w:color w:val="auto"/>
                <w:sz w:val="28"/>
                <w:szCs w:val="28"/>
                <w:u w:val="none"/>
              </w:rPr>
            </w:pPr>
            <w:r>
              <w:rPr>
                <w:rFonts w:hint="default" w:ascii="Times New Roman" w:hAnsi="Times New Roman" w:eastAsia="仿宋" w:cs="Times New Roman"/>
                <w:b/>
                <w:bCs/>
                <w:i w:val="0"/>
                <w:iCs w:val="0"/>
                <w:snapToGrid w:val="0"/>
                <w:color w:val="auto"/>
                <w:kern w:val="0"/>
                <w:sz w:val="28"/>
                <w:szCs w:val="28"/>
                <w:u w:val="none"/>
                <w:lang w:val="en-US" w:eastAsia="zh-CN" w:bidi="ar"/>
              </w:rPr>
              <w:t>六</w:t>
            </w:r>
          </w:p>
        </w:tc>
      </w:tr>
      <w:tr w14:paraId="3828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483">
            <w:pPr>
              <w:keepNext w:val="0"/>
              <w:keepLines w:val="0"/>
              <w:pageBreakBefore w:val="0"/>
              <w:widowControl/>
              <w:kinsoku/>
              <w:wordWrap/>
              <w:topLinePunct w:val="0"/>
              <w:bidi w:val="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kern w:val="0"/>
                <w:sz w:val="28"/>
                <w:szCs w:val="28"/>
              </w:rPr>
              <w:t>人际沟通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9879">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3C2">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2E7B">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A75C">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39E4">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B95">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9D5">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r>
      <w:tr w14:paraId="157F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EFB">
            <w:pPr>
              <w:keepNext w:val="0"/>
              <w:keepLines w:val="0"/>
              <w:pageBreakBefore w:val="0"/>
              <w:widowControl/>
              <w:kinsoku/>
              <w:wordWrap/>
              <w:topLinePunct w:val="0"/>
              <w:bidi w:val="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kern w:val="0"/>
                <w:sz w:val="28"/>
                <w:szCs w:val="28"/>
              </w:rPr>
              <w:t>社会实践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9FB9">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520">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05CC">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DD38">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6EFD">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BEBC">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9EAB">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r>
      <w:tr w14:paraId="2B0C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129F">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社会服务：</w:t>
            </w:r>
          </w:p>
          <w:p w14:paraId="52DD3F8B">
            <w:pPr>
              <w:keepNext w:val="0"/>
              <w:keepLines w:val="0"/>
              <w:pageBreakBefore w:val="0"/>
              <w:widowControl/>
              <w:kinsoku/>
              <w:wordWrap/>
              <w:topLinePunct w:val="0"/>
              <w:bidi w:val="0"/>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kern w:val="0"/>
                <w:sz w:val="28"/>
                <w:szCs w:val="28"/>
              </w:rPr>
              <w:t>义诊、口腔卫生宣教等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04C">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E679">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169B">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D2CE">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8AF1">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仿宋_GB2312" w:cs="Times New Roman"/>
                <w:color w:val="auto"/>
                <w:sz w:val="28"/>
                <w:szCs w:val="28"/>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FF96">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7112">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r>
      <w:tr w14:paraId="718B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EC09">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口腔助理医师资格</w:t>
            </w:r>
          </w:p>
          <w:p w14:paraId="19C9CE8B">
            <w:pPr>
              <w:keepNext w:val="0"/>
              <w:keepLines w:val="0"/>
              <w:pageBreakBefore w:val="0"/>
              <w:widowControl/>
              <w:kinsoku/>
              <w:wordWrap/>
              <w:topLinePunct w:val="0"/>
              <w:bidi w:val="0"/>
              <w:jc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仿宋_GB2312" w:cs="Times New Roman"/>
                <w:color w:val="auto"/>
                <w:kern w:val="0"/>
                <w:sz w:val="28"/>
                <w:szCs w:val="28"/>
                <w:highlight w:val="none"/>
              </w:rPr>
              <w:t>考试</w:t>
            </w:r>
            <w:r>
              <w:rPr>
                <w:rFonts w:hint="default" w:ascii="Times New Roman" w:hAnsi="Times New Roman" w:eastAsia="仿宋_GB2312" w:cs="Times New Roman"/>
                <w:color w:val="auto"/>
                <w:kern w:val="0"/>
                <w:sz w:val="28"/>
                <w:szCs w:val="28"/>
                <w:highlight w:val="none"/>
                <w:lang w:val="en-US" w:eastAsia="zh-CN"/>
              </w:rPr>
              <w:t>辅导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9FD">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仿宋_GB2312" w:cs="Times New Roman"/>
                <w:color w:val="auto"/>
                <w:sz w:val="28"/>
                <w:szCs w:val="28"/>
                <w:highlight w:val="none"/>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10C">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AC7">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00DF">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D638">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3855">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D0D">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仿宋_GB2312" w:cs="Times New Roman"/>
                <w:color w:val="auto"/>
                <w:sz w:val="28"/>
                <w:szCs w:val="28"/>
                <w:highlight w:val="none"/>
                <w:lang w:val="en-US" w:eastAsia="zh-CN"/>
              </w:rPr>
              <w:t>10</w:t>
            </w:r>
          </w:p>
        </w:tc>
      </w:tr>
      <w:tr w14:paraId="4A36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FF9D">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口腔微距摄影</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8BD">
            <w:pPr>
              <w:keepNext w:val="0"/>
              <w:keepLines w:val="0"/>
              <w:pageBreakBefore w:val="0"/>
              <w:kinsoku/>
              <w:wordWrap/>
              <w:topLinePunct w:val="0"/>
              <w:bidi w:val="0"/>
              <w:ind w:left="-50" w:leftChars="0" w:right="-50" w:right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64B2">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8B22">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FA09">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C426">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B77D">
            <w:pPr>
              <w:keepNext w:val="0"/>
              <w:keepLines w:val="0"/>
              <w:pageBreakBefore w:val="0"/>
              <w:kinsoku/>
              <w:wordWrap/>
              <w:topLinePunct w:val="0"/>
              <w:bidi w:val="0"/>
              <w:ind w:left="-50" w:leftChars="0" w:right="-50" w:right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274D">
            <w:pPr>
              <w:keepNext w:val="0"/>
              <w:keepLines w:val="0"/>
              <w:pageBreakBefore w:val="0"/>
              <w:kinsoku/>
              <w:wordWrap/>
              <w:topLinePunct w:val="0"/>
              <w:bidi w:val="0"/>
              <w:ind w:left="-50" w:leftChars="0" w:right="-50" w:right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p>
        </w:tc>
      </w:tr>
      <w:tr w14:paraId="3503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1806">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劳动教育</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C931">
            <w:pPr>
              <w:keepNext w:val="0"/>
              <w:keepLines w:val="0"/>
              <w:pageBreakBefore w:val="0"/>
              <w:kinsoku/>
              <w:wordWrap/>
              <w:topLinePunct w:val="0"/>
              <w:bidi w:val="0"/>
              <w:ind w:left="-50" w:leftChars="0" w:right="-50" w:right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8FA7">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754E">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lang w:val="en-US" w:eastAsia="zh-CN"/>
              </w:rPr>
            </w:pPr>
            <w:r>
              <w:rPr>
                <w:rFonts w:hint="default" w:ascii="Times New Roman" w:hAnsi="Times New Roman" w:eastAsia="宋体" w:cs="Times New Roman"/>
                <w:i w:val="0"/>
                <w:iCs w:val="0"/>
                <w:color w:val="auto"/>
                <w:sz w:val="28"/>
                <w:szCs w:val="28"/>
                <w:u w:val="none"/>
                <w:lang w:val="en-US" w:eastAsia="zh-CN"/>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A86">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836E">
            <w:pPr>
              <w:keepNext w:val="0"/>
              <w:keepLines w:val="0"/>
              <w:pageBreakBefore w:val="0"/>
              <w:kinsoku/>
              <w:wordWrap/>
              <w:topLinePunct w:val="0"/>
              <w:bidi w:val="0"/>
              <w:ind w:left="-50" w:leftChars="0" w:right="-50" w:rightChars="0"/>
              <w:jc w:val="center"/>
              <w:rPr>
                <w:rFonts w:hint="default" w:ascii="Times New Roman" w:hAnsi="Times New Roman" w:eastAsia="宋体" w:cs="Times New Roman"/>
                <w:i w:val="0"/>
                <w:iCs w:val="0"/>
                <w:color w:val="auto"/>
                <w:sz w:val="28"/>
                <w:szCs w:val="28"/>
                <w:u w:val="none"/>
                <w:lang w:val="en-US" w:eastAsia="zh-CN"/>
              </w:rPr>
            </w:pPr>
            <w:r>
              <w:rPr>
                <w:rFonts w:hint="default" w:ascii="Times New Roman" w:hAnsi="Times New Roman" w:eastAsia="宋体" w:cs="Times New Roman"/>
                <w:i w:val="0"/>
                <w:iCs w:val="0"/>
                <w:color w:val="auto"/>
                <w:sz w:val="28"/>
                <w:szCs w:val="28"/>
                <w:u w:val="none"/>
                <w:lang w:val="en-US" w:eastAsia="zh-CN"/>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6A72">
            <w:pPr>
              <w:keepNext w:val="0"/>
              <w:keepLines w:val="0"/>
              <w:pageBreakBefore w:val="0"/>
              <w:kinsoku/>
              <w:wordWrap/>
              <w:topLinePunct w:val="0"/>
              <w:bidi w:val="0"/>
              <w:ind w:left="-50" w:leftChars="0" w:right="-50" w:rightChars="0"/>
              <w:jc w:val="center"/>
              <w:rPr>
                <w:rFonts w:hint="default" w:ascii="Times New Roman" w:hAnsi="Times New Roman" w:eastAsia="仿宋_GB2312" w:cs="Times New Roman"/>
                <w:color w:val="auto"/>
                <w:sz w:val="28"/>
                <w:szCs w:val="28"/>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79C2">
            <w:pPr>
              <w:keepNext w:val="0"/>
              <w:keepLines w:val="0"/>
              <w:pageBreakBefore w:val="0"/>
              <w:kinsoku/>
              <w:wordWrap/>
              <w:topLinePunct w:val="0"/>
              <w:bidi w:val="0"/>
              <w:ind w:left="-50" w:leftChars="0" w:right="-50" w:rightChars="0"/>
              <w:jc w:val="center"/>
              <w:rPr>
                <w:rFonts w:hint="default" w:ascii="Times New Roman" w:hAnsi="Times New Roman" w:eastAsia="仿宋_GB2312" w:cs="Times New Roman"/>
                <w:color w:val="auto"/>
                <w:sz w:val="28"/>
                <w:szCs w:val="28"/>
              </w:rPr>
            </w:pPr>
          </w:p>
        </w:tc>
      </w:tr>
    </w:tbl>
    <w:p w14:paraId="37654056">
      <w:pPr>
        <w:pStyle w:val="5"/>
        <w:keepNext w:val="0"/>
        <w:keepLines w:val="0"/>
        <w:pageBreakBefore w:val="0"/>
        <w:kinsoku/>
        <w:wordWrap/>
        <w:topLinePunct w:val="0"/>
        <w:bidi w:val="0"/>
        <w:spacing w:before="174" w:line="228" w:lineRule="auto"/>
        <w:ind w:left="867"/>
        <w:rPr>
          <w:rFonts w:hint="default" w:ascii="Times New Roman" w:hAnsi="Times New Roman" w:cs="Times New Roman"/>
          <w:b/>
          <w:bCs/>
          <w:color w:val="auto"/>
          <w:spacing w:val="-1"/>
        </w:rPr>
      </w:pPr>
    </w:p>
    <w:p w14:paraId="300A4D90">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lang w:val="en-US" w:eastAsia="zh-CN"/>
        </w:rPr>
      </w:pPr>
      <w:bookmarkStart w:id="18" w:name="_Toc15098"/>
      <w:r>
        <w:rPr>
          <w:rFonts w:hint="default" w:ascii="Times New Roman" w:hAnsi="Times New Roman" w:cs="Times New Roman"/>
          <w:b/>
          <w:bCs/>
          <w:color w:val="auto"/>
          <w:spacing w:val="4"/>
        </w:rPr>
        <w:t>（四）实践教学安排表</w:t>
      </w:r>
      <w:bookmarkEnd w:id="18"/>
    </w:p>
    <w:tbl>
      <w:tblPr>
        <w:tblStyle w:val="9"/>
        <w:tblW w:w="9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3"/>
        <w:gridCol w:w="784"/>
        <w:gridCol w:w="1017"/>
        <w:gridCol w:w="783"/>
        <w:gridCol w:w="817"/>
        <w:gridCol w:w="3757"/>
      </w:tblGrid>
      <w:tr w14:paraId="76E0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exact"/>
          <w:jc w:val="center"/>
        </w:trPr>
        <w:tc>
          <w:tcPr>
            <w:tcW w:w="1893" w:type="dxa"/>
            <w:vMerge w:val="restart"/>
            <w:tcBorders>
              <w:top w:val="single" w:color="000000" w:sz="4" w:space="0"/>
              <w:left w:val="single" w:color="000000" w:sz="4" w:space="0"/>
              <w:right w:val="single" w:color="000000" w:sz="4" w:space="0"/>
            </w:tcBorders>
            <w:shd w:val="clear" w:color="auto" w:fill="auto"/>
            <w:vAlign w:val="center"/>
          </w:tcPr>
          <w:p w14:paraId="13F1AB68">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实践性教学环节</w:t>
            </w:r>
          </w:p>
        </w:tc>
        <w:tc>
          <w:tcPr>
            <w:tcW w:w="784" w:type="dxa"/>
            <w:vMerge w:val="restart"/>
            <w:tcBorders>
              <w:top w:val="single" w:color="auto" w:sz="4" w:space="0"/>
              <w:left w:val="single" w:color="000000" w:sz="4" w:space="0"/>
              <w:right w:val="single" w:color="000000" w:sz="4" w:space="0"/>
            </w:tcBorders>
            <w:shd w:val="clear" w:color="auto" w:fill="auto"/>
            <w:vAlign w:val="center"/>
          </w:tcPr>
          <w:p w14:paraId="50E48E10">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学分</w:t>
            </w:r>
          </w:p>
        </w:tc>
        <w:tc>
          <w:tcPr>
            <w:tcW w:w="1017" w:type="dxa"/>
            <w:vMerge w:val="restart"/>
            <w:tcBorders>
              <w:top w:val="single" w:color="000000" w:sz="4" w:space="0"/>
              <w:left w:val="single" w:color="000000" w:sz="4" w:space="0"/>
              <w:right w:val="single" w:color="000000" w:sz="4" w:space="0"/>
            </w:tcBorders>
            <w:shd w:val="clear" w:color="auto" w:fill="auto"/>
            <w:vAlign w:val="center"/>
          </w:tcPr>
          <w:p w14:paraId="47FDCF18">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学时</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4DA1">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学时分配</w:t>
            </w:r>
          </w:p>
        </w:tc>
        <w:tc>
          <w:tcPr>
            <w:tcW w:w="3757" w:type="dxa"/>
            <w:vMerge w:val="restart"/>
            <w:tcBorders>
              <w:top w:val="single" w:color="000000" w:sz="4" w:space="0"/>
              <w:left w:val="single" w:color="000000" w:sz="4" w:space="0"/>
              <w:right w:val="single" w:color="000000" w:sz="4" w:space="0"/>
            </w:tcBorders>
            <w:shd w:val="clear" w:color="auto" w:fill="auto"/>
            <w:vAlign w:val="center"/>
          </w:tcPr>
          <w:p w14:paraId="3463620F">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主要实践内容</w:t>
            </w:r>
          </w:p>
        </w:tc>
      </w:tr>
      <w:tr w14:paraId="23D2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exact"/>
          <w:jc w:val="center"/>
        </w:trPr>
        <w:tc>
          <w:tcPr>
            <w:tcW w:w="1893" w:type="dxa"/>
            <w:vMerge w:val="continue"/>
            <w:tcBorders>
              <w:left w:val="single" w:color="000000" w:sz="4" w:space="0"/>
              <w:bottom w:val="single" w:color="000000" w:sz="4" w:space="0"/>
              <w:right w:val="single" w:color="000000" w:sz="4" w:space="0"/>
            </w:tcBorders>
            <w:shd w:val="clear" w:color="auto" w:fill="auto"/>
            <w:vAlign w:val="center"/>
          </w:tcPr>
          <w:p w14:paraId="33522510">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p>
        </w:tc>
        <w:tc>
          <w:tcPr>
            <w:tcW w:w="784" w:type="dxa"/>
            <w:vMerge w:val="continue"/>
            <w:tcBorders>
              <w:left w:val="single" w:color="000000" w:sz="4" w:space="0"/>
              <w:bottom w:val="single" w:color="000000" w:sz="4" w:space="0"/>
              <w:right w:val="single" w:color="000000" w:sz="4" w:space="0"/>
            </w:tcBorders>
            <w:shd w:val="clear" w:color="auto" w:fill="auto"/>
            <w:vAlign w:val="center"/>
          </w:tcPr>
          <w:p w14:paraId="2F06D49A">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p>
        </w:tc>
        <w:tc>
          <w:tcPr>
            <w:tcW w:w="1017" w:type="dxa"/>
            <w:vMerge w:val="continue"/>
            <w:tcBorders>
              <w:left w:val="single" w:color="000000" w:sz="4" w:space="0"/>
              <w:bottom w:val="single" w:color="000000" w:sz="4" w:space="0"/>
              <w:right w:val="single" w:color="000000" w:sz="4" w:space="0"/>
            </w:tcBorders>
            <w:shd w:val="clear" w:color="auto" w:fill="auto"/>
            <w:vAlign w:val="center"/>
          </w:tcPr>
          <w:p w14:paraId="00B53DD9">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DBB">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理论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81D0">
            <w:pPr>
              <w:keepNext w:val="0"/>
              <w:keepLines w:val="0"/>
              <w:pageBreakBefore w:val="0"/>
              <w:widowControl/>
              <w:kinsoku/>
              <w:wordWrap/>
              <w:topLinePunct w:val="0"/>
              <w:bidi w:val="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实践</w:t>
            </w:r>
          </w:p>
        </w:tc>
        <w:tc>
          <w:tcPr>
            <w:tcW w:w="3757" w:type="dxa"/>
            <w:vMerge w:val="continue"/>
            <w:tcBorders>
              <w:left w:val="single" w:color="000000" w:sz="4" w:space="0"/>
              <w:bottom w:val="single" w:color="000000" w:sz="4" w:space="0"/>
              <w:right w:val="single" w:color="000000" w:sz="4" w:space="0"/>
            </w:tcBorders>
            <w:shd w:val="clear" w:color="auto" w:fill="auto"/>
            <w:vAlign w:val="center"/>
          </w:tcPr>
          <w:p w14:paraId="6EF56B59">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p>
        </w:tc>
      </w:tr>
      <w:tr w14:paraId="1C36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exact"/>
          <w:jc w:val="center"/>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F05">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课间见习</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3EA2">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560">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4D5">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C838">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25</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A358">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1.了解就业岗位、行业现状及发展趋势，初步形成职业规划</w:t>
            </w:r>
          </w:p>
          <w:p w14:paraId="7CE2D665">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2.了解口腔常见疾病的诊疗、预防保健等基本操作</w:t>
            </w:r>
          </w:p>
        </w:tc>
      </w:tr>
      <w:tr w14:paraId="03AD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exact"/>
          <w:jc w:val="center"/>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F46">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毕业实习</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BF7">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7DB0">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EB52">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088B">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800</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top"/>
          </w:tcPr>
          <w:p w14:paraId="7B71022E">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通过口腔内科、口腔修复科、口腔颌面外科的轮转，掌握口腔常见疾病的诊疗、预防保健等基本操作</w:t>
            </w:r>
          </w:p>
        </w:tc>
      </w:tr>
      <w:tr w14:paraId="2D08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DEEA">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小计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494F">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1F86">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7CC">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20ED">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825</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6AE">
            <w:pPr>
              <w:keepNext w:val="0"/>
              <w:keepLines w:val="0"/>
              <w:pageBreakBefore w:val="0"/>
              <w:widowControl/>
              <w:kinsoku/>
              <w:wordWrap/>
              <w:topLinePunct w:val="0"/>
              <w:bidi w:val="0"/>
              <w:jc w:val="center"/>
              <w:rPr>
                <w:rFonts w:hint="default" w:ascii="Times New Roman" w:hAnsi="Times New Roman" w:eastAsia="仿宋_GB2312" w:cs="Times New Roman"/>
                <w:color w:val="auto"/>
                <w:kern w:val="0"/>
                <w:sz w:val="28"/>
                <w:szCs w:val="28"/>
                <w:lang w:val="en-US" w:eastAsia="zh-CN"/>
              </w:rPr>
            </w:pPr>
          </w:p>
        </w:tc>
      </w:tr>
    </w:tbl>
    <w:p w14:paraId="19DF948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集中实践教学环节主要包括教学见习和毕业实习，均在校外实训基地完成。学生管理严格执行《甘肃卫生职业学院学生实习管理规定》。具体安排如下：</w:t>
      </w:r>
    </w:p>
    <w:p w14:paraId="65AF7EC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1.教学见习  第4期安排学生在二级甲等及以上综合医院口腔科、口腔专科医院见习1周，学生进入医院参观学习、体验工作场景，了解就业岗位、行业现状及发展趋势，初步形成职业规划。同时了解口腔常见疾病的诊疗、预防保健等基本操作。</w:t>
      </w:r>
    </w:p>
    <w:p w14:paraId="30B21BF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2.毕业实习  共计32周，安排在二级甲等及以上综合医院口腔科、口腔专科医院进行，其中包括口腔内科12周，口腔颌面外科8周，口腔修复科12周。通过以上各科室的轮转实习，掌握口腔常见疾病的诊疗、预防和保健等基本操作。</w:t>
      </w:r>
    </w:p>
    <w:p w14:paraId="655C2FC2">
      <w:pPr>
        <w:pStyle w:val="5"/>
        <w:keepNext w:val="0"/>
        <w:keepLines w:val="0"/>
        <w:pageBreakBefore w:val="0"/>
        <w:kinsoku/>
        <w:wordWrap/>
        <w:topLinePunct w:val="0"/>
        <w:bidi w:val="0"/>
        <w:spacing w:before="178" w:line="227" w:lineRule="auto"/>
        <w:ind w:left="779"/>
        <w:outlineLvl w:val="0"/>
        <w:rPr>
          <w:rFonts w:hint="default" w:ascii="Times New Roman" w:hAnsi="Times New Roman" w:cs="Times New Roman"/>
          <w:b/>
          <w:bCs/>
          <w:color w:val="auto"/>
          <w:spacing w:val="4"/>
          <w:lang w:val="en-US" w:eastAsia="en-US"/>
        </w:rPr>
      </w:pPr>
      <w:bookmarkStart w:id="19" w:name="_Toc29420"/>
      <w:r>
        <w:rPr>
          <w:rFonts w:hint="default" w:ascii="Times New Roman" w:hAnsi="Times New Roman" w:cs="Times New Roman"/>
          <w:b/>
          <w:bCs/>
          <w:color w:val="auto"/>
          <w:spacing w:val="4"/>
          <w:lang w:val="en-US" w:eastAsia="en-US"/>
        </w:rPr>
        <w:t>（五）各模块学时、学分</w:t>
      </w:r>
      <w:r>
        <w:rPr>
          <w:rFonts w:hint="default" w:ascii="Times New Roman" w:hAnsi="Times New Roman" w:cs="Times New Roman"/>
          <w:b/>
          <w:bCs/>
          <w:color w:val="auto"/>
          <w:spacing w:val="4"/>
          <w:lang w:val="en-US" w:eastAsia="zh-CN"/>
        </w:rPr>
        <w:t>汇总</w:t>
      </w:r>
      <w:r>
        <w:rPr>
          <w:rFonts w:hint="default" w:ascii="Times New Roman" w:hAnsi="Times New Roman" w:cs="Times New Roman"/>
          <w:b/>
          <w:bCs/>
          <w:color w:val="auto"/>
          <w:spacing w:val="4"/>
          <w:lang w:val="en-US" w:eastAsia="en-US"/>
        </w:rPr>
        <w:t>表</w:t>
      </w:r>
      <w:bookmarkEnd w:id="19"/>
    </w:p>
    <w:p w14:paraId="0CC09B1D">
      <w:pPr>
        <w:keepNext w:val="0"/>
        <w:keepLines w:val="0"/>
        <w:pageBreakBefore w:val="0"/>
        <w:kinsoku/>
        <w:wordWrap/>
        <w:topLinePunct w:val="0"/>
        <w:bidi w:val="0"/>
        <w:spacing w:line="87" w:lineRule="exact"/>
        <w:rPr>
          <w:rFonts w:hint="default" w:ascii="Times New Roman" w:hAnsi="Times New Roman" w:cs="Times New Roman"/>
          <w:color w:val="auto"/>
        </w:rPr>
      </w:pPr>
    </w:p>
    <w:tbl>
      <w:tblPr>
        <w:tblStyle w:val="11"/>
        <w:tblW w:w="85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8"/>
        <w:gridCol w:w="1185"/>
        <w:gridCol w:w="759"/>
        <w:gridCol w:w="759"/>
        <w:gridCol w:w="759"/>
        <w:gridCol w:w="759"/>
        <w:gridCol w:w="1108"/>
        <w:gridCol w:w="1466"/>
      </w:tblGrid>
      <w:tr w14:paraId="18EFE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748" w:type="dxa"/>
            <w:tcBorders>
              <w:bottom w:val="single" w:color="auto" w:sz="4" w:space="0"/>
            </w:tcBorders>
            <w:vAlign w:val="center"/>
          </w:tcPr>
          <w:p w14:paraId="65B7579E">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课程模块</w:t>
            </w:r>
          </w:p>
        </w:tc>
        <w:tc>
          <w:tcPr>
            <w:tcW w:w="1185" w:type="dxa"/>
            <w:tcBorders>
              <w:bottom w:val="single" w:color="auto" w:sz="4" w:space="0"/>
            </w:tcBorders>
            <w:vAlign w:val="center"/>
          </w:tcPr>
          <w:p w14:paraId="2A990F3E">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课程性质</w:t>
            </w:r>
          </w:p>
        </w:tc>
        <w:tc>
          <w:tcPr>
            <w:tcW w:w="759" w:type="dxa"/>
            <w:tcBorders>
              <w:bottom w:val="single" w:color="auto" w:sz="4" w:space="0"/>
            </w:tcBorders>
            <w:vAlign w:val="center"/>
          </w:tcPr>
          <w:p w14:paraId="3031FBDC">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学分</w:t>
            </w:r>
          </w:p>
        </w:tc>
        <w:tc>
          <w:tcPr>
            <w:tcW w:w="759" w:type="dxa"/>
            <w:tcBorders>
              <w:bottom w:val="single" w:color="auto" w:sz="4" w:space="0"/>
            </w:tcBorders>
            <w:vAlign w:val="center"/>
          </w:tcPr>
          <w:p w14:paraId="4FD77E21">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学时</w:t>
            </w:r>
          </w:p>
        </w:tc>
        <w:tc>
          <w:tcPr>
            <w:tcW w:w="759" w:type="dxa"/>
            <w:tcBorders>
              <w:bottom w:val="single" w:color="auto" w:sz="4" w:space="0"/>
            </w:tcBorders>
            <w:vAlign w:val="center"/>
          </w:tcPr>
          <w:p w14:paraId="4333BABA">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理论</w:t>
            </w:r>
          </w:p>
          <w:p w14:paraId="063AA32E">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学时</w:t>
            </w:r>
          </w:p>
        </w:tc>
        <w:tc>
          <w:tcPr>
            <w:tcW w:w="759" w:type="dxa"/>
            <w:tcBorders>
              <w:bottom w:val="single" w:color="auto" w:sz="4" w:space="0"/>
            </w:tcBorders>
            <w:vAlign w:val="center"/>
          </w:tcPr>
          <w:p w14:paraId="1C71E819">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实践</w:t>
            </w:r>
          </w:p>
          <w:p w14:paraId="2203397C">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学时</w:t>
            </w:r>
          </w:p>
        </w:tc>
        <w:tc>
          <w:tcPr>
            <w:tcW w:w="1108" w:type="dxa"/>
            <w:tcBorders>
              <w:bottom w:val="single" w:color="auto" w:sz="4" w:space="0"/>
            </w:tcBorders>
            <w:vAlign w:val="center"/>
          </w:tcPr>
          <w:p w14:paraId="545742B4">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 xml:space="preserve">实践教学比例 </w:t>
            </w:r>
          </w:p>
        </w:tc>
        <w:tc>
          <w:tcPr>
            <w:tcW w:w="1466" w:type="dxa"/>
            <w:tcBorders>
              <w:bottom w:val="single" w:color="auto" w:sz="4" w:space="0"/>
            </w:tcBorders>
            <w:vAlign w:val="center"/>
          </w:tcPr>
          <w:p w14:paraId="66709A8F">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占总学时</w:t>
            </w:r>
          </w:p>
          <w:p w14:paraId="0CFBF476">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bidi="ar"/>
              </w:rPr>
            </w:pPr>
            <w:r>
              <w:rPr>
                <w:rFonts w:hint="default" w:ascii="Times New Roman" w:hAnsi="Times New Roman" w:eastAsia="宋体" w:cs="Times New Roman"/>
                <w:b/>
                <w:bCs/>
                <w:i w:val="0"/>
                <w:iCs w:val="0"/>
                <w:snapToGrid w:val="0"/>
                <w:color w:val="auto"/>
                <w:kern w:val="0"/>
                <w:sz w:val="22"/>
                <w:szCs w:val="22"/>
                <w:u w:val="none"/>
                <w:lang w:val="en-US" w:eastAsia="zh-CN" w:bidi="ar"/>
              </w:rPr>
              <w:t>比例</w:t>
            </w:r>
          </w:p>
        </w:tc>
      </w:tr>
      <w:tr w14:paraId="5106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5F7701EB">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公共基础课程</w:t>
            </w:r>
          </w:p>
        </w:tc>
        <w:tc>
          <w:tcPr>
            <w:tcW w:w="1185" w:type="dxa"/>
            <w:tcBorders>
              <w:top w:val="single" w:color="auto" w:sz="4" w:space="0"/>
              <w:left w:val="single" w:color="auto" w:sz="4" w:space="0"/>
              <w:bottom w:val="single" w:color="auto" w:sz="4" w:space="0"/>
              <w:right w:val="single" w:color="auto" w:sz="4" w:space="0"/>
            </w:tcBorders>
            <w:vAlign w:val="center"/>
          </w:tcPr>
          <w:p w14:paraId="4394A0D8">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必修</w:t>
            </w:r>
          </w:p>
        </w:tc>
        <w:tc>
          <w:tcPr>
            <w:tcW w:w="759" w:type="dxa"/>
            <w:tcBorders>
              <w:top w:val="single" w:color="auto" w:sz="4" w:space="0"/>
              <w:left w:val="single" w:color="auto" w:sz="4" w:space="0"/>
              <w:bottom w:val="single" w:color="auto" w:sz="4" w:space="0"/>
              <w:right w:val="single" w:color="auto" w:sz="4" w:space="0"/>
            </w:tcBorders>
            <w:vAlign w:val="center"/>
          </w:tcPr>
          <w:p w14:paraId="4B85F3D4">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759" w:type="dxa"/>
            <w:tcBorders>
              <w:top w:val="single" w:color="auto" w:sz="4" w:space="0"/>
              <w:left w:val="single" w:color="auto" w:sz="4" w:space="0"/>
              <w:bottom w:val="single" w:color="auto" w:sz="4" w:space="0"/>
              <w:right w:val="single" w:color="auto" w:sz="4" w:space="0"/>
            </w:tcBorders>
            <w:vAlign w:val="center"/>
          </w:tcPr>
          <w:p w14:paraId="7241558E">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770</w:t>
            </w:r>
          </w:p>
        </w:tc>
        <w:tc>
          <w:tcPr>
            <w:tcW w:w="759" w:type="dxa"/>
            <w:tcBorders>
              <w:top w:val="single" w:color="auto" w:sz="4" w:space="0"/>
              <w:left w:val="single" w:color="auto" w:sz="4" w:space="0"/>
              <w:bottom w:val="single" w:color="auto" w:sz="4" w:space="0"/>
              <w:right w:val="single" w:color="auto" w:sz="4" w:space="0"/>
            </w:tcBorders>
            <w:vAlign w:val="center"/>
          </w:tcPr>
          <w:p w14:paraId="1C116B64">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396</w:t>
            </w:r>
          </w:p>
        </w:tc>
        <w:tc>
          <w:tcPr>
            <w:tcW w:w="759" w:type="dxa"/>
            <w:tcBorders>
              <w:top w:val="single" w:color="auto" w:sz="4" w:space="0"/>
              <w:left w:val="single" w:color="auto" w:sz="4" w:space="0"/>
              <w:bottom w:val="single" w:color="auto" w:sz="4" w:space="0"/>
              <w:right w:val="single" w:color="auto" w:sz="4" w:space="0"/>
            </w:tcBorders>
            <w:vAlign w:val="center"/>
          </w:tcPr>
          <w:p w14:paraId="101A00DF">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374</w:t>
            </w:r>
          </w:p>
        </w:tc>
        <w:tc>
          <w:tcPr>
            <w:tcW w:w="1108" w:type="dxa"/>
            <w:tcBorders>
              <w:top w:val="single" w:color="auto" w:sz="4" w:space="0"/>
              <w:left w:val="single" w:color="auto" w:sz="4" w:space="0"/>
              <w:bottom w:val="single" w:color="auto" w:sz="4" w:space="0"/>
              <w:right w:val="single" w:color="auto" w:sz="4" w:space="0"/>
            </w:tcBorders>
            <w:vAlign w:val="center"/>
          </w:tcPr>
          <w:p w14:paraId="6D4104B7">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48.6%</w:t>
            </w:r>
          </w:p>
        </w:tc>
        <w:tc>
          <w:tcPr>
            <w:tcW w:w="1466" w:type="dxa"/>
            <w:tcBorders>
              <w:top w:val="single" w:color="auto" w:sz="4" w:space="0"/>
              <w:left w:val="single" w:color="auto" w:sz="4" w:space="0"/>
              <w:bottom w:val="single" w:color="auto" w:sz="4" w:space="0"/>
              <w:right w:val="single" w:color="auto" w:sz="4" w:space="0"/>
            </w:tcBorders>
            <w:vAlign w:val="center"/>
          </w:tcPr>
          <w:p w14:paraId="7D5E3281">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26.4%</w:t>
            </w:r>
          </w:p>
        </w:tc>
      </w:tr>
      <w:tr w14:paraId="4B354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2A55A92D">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专业基础课程</w:t>
            </w:r>
          </w:p>
        </w:tc>
        <w:tc>
          <w:tcPr>
            <w:tcW w:w="1185" w:type="dxa"/>
            <w:tcBorders>
              <w:top w:val="single" w:color="auto" w:sz="4" w:space="0"/>
              <w:left w:val="single" w:color="auto" w:sz="4" w:space="0"/>
              <w:bottom w:val="single" w:color="auto" w:sz="4" w:space="0"/>
              <w:right w:val="single" w:color="auto" w:sz="4" w:space="0"/>
            </w:tcBorders>
            <w:vAlign w:val="center"/>
          </w:tcPr>
          <w:p w14:paraId="29998185">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必修</w:t>
            </w:r>
          </w:p>
        </w:tc>
        <w:tc>
          <w:tcPr>
            <w:tcW w:w="759" w:type="dxa"/>
            <w:tcBorders>
              <w:top w:val="single" w:color="auto" w:sz="4" w:space="0"/>
              <w:left w:val="single" w:color="auto" w:sz="4" w:space="0"/>
              <w:bottom w:val="single" w:color="auto" w:sz="4" w:space="0"/>
              <w:right w:val="single" w:color="auto" w:sz="4" w:space="0"/>
            </w:tcBorders>
            <w:vAlign w:val="center"/>
          </w:tcPr>
          <w:p w14:paraId="49A01AA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19</w:t>
            </w:r>
          </w:p>
        </w:tc>
        <w:tc>
          <w:tcPr>
            <w:tcW w:w="759" w:type="dxa"/>
            <w:tcBorders>
              <w:top w:val="single" w:color="auto" w:sz="4" w:space="0"/>
              <w:left w:val="single" w:color="auto" w:sz="4" w:space="0"/>
              <w:bottom w:val="single" w:color="auto" w:sz="4" w:space="0"/>
              <w:right w:val="single" w:color="auto" w:sz="4" w:space="0"/>
            </w:tcBorders>
            <w:vAlign w:val="center"/>
          </w:tcPr>
          <w:p w14:paraId="5C205B2A">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304</w:t>
            </w:r>
          </w:p>
        </w:tc>
        <w:tc>
          <w:tcPr>
            <w:tcW w:w="759" w:type="dxa"/>
            <w:tcBorders>
              <w:top w:val="single" w:color="auto" w:sz="4" w:space="0"/>
              <w:left w:val="single" w:color="auto" w:sz="4" w:space="0"/>
              <w:bottom w:val="single" w:color="auto" w:sz="4" w:space="0"/>
              <w:right w:val="single" w:color="auto" w:sz="4" w:space="0"/>
            </w:tcBorders>
            <w:vAlign w:val="center"/>
          </w:tcPr>
          <w:p w14:paraId="41B680B1">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252</w:t>
            </w:r>
          </w:p>
        </w:tc>
        <w:tc>
          <w:tcPr>
            <w:tcW w:w="759" w:type="dxa"/>
            <w:tcBorders>
              <w:top w:val="single" w:color="auto" w:sz="4" w:space="0"/>
              <w:left w:val="single" w:color="auto" w:sz="4" w:space="0"/>
              <w:bottom w:val="single" w:color="auto" w:sz="4" w:space="0"/>
              <w:right w:val="single" w:color="auto" w:sz="4" w:space="0"/>
            </w:tcBorders>
            <w:vAlign w:val="center"/>
          </w:tcPr>
          <w:p w14:paraId="37EB237C">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52</w:t>
            </w:r>
          </w:p>
        </w:tc>
        <w:tc>
          <w:tcPr>
            <w:tcW w:w="1108" w:type="dxa"/>
            <w:tcBorders>
              <w:top w:val="single" w:color="auto" w:sz="4" w:space="0"/>
              <w:left w:val="single" w:color="auto" w:sz="4" w:space="0"/>
              <w:bottom w:val="single" w:color="auto" w:sz="4" w:space="0"/>
              <w:right w:val="single" w:color="auto" w:sz="4" w:space="0"/>
            </w:tcBorders>
            <w:vAlign w:val="center"/>
          </w:tcPr>
          <w:p w14:paraId="180121B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17.1%</w:t>
            </w:r>
          </w:p>
        </w:tc>
        <w:tc>
          <w:tcPr>
            <w:tcW w:w="1466" w:type="dxa"/>
            <w:tcBorders>
              <w:top w:val="single" w:color="auto" w:sz="4" w:space="0"/>
              <w:left w:val="single" w:color="auto" w:sz="4" w:space="0"/>
              <w:bottom w:val="single" w:color="auto" w:sz="4" w:space="0"/>
              <w:right w:val="single" w:color="auto" w:sz="4" w:space="0"/>
            </w:tcBorders>
            <w:vAlign w:val="center"/>
          </w:tcPr>
          <w:p w14:paraId="71BD8600">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10.4%</w:t>
            </w:r>
          </w:p>
        </w:tc>
      </w:tr>
      <w:tr w14:paraId="4372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57F61170">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专业核心课程</w:t>
            </w:r>
          </w:p>
        </w:tc>
        <w:tc>
          <w:tcPr>
            <w:tcW w:w="1185" w:type="dxa"/>
            <w:tcBorders>
              <w:top w:val="single" w:color="auto" w:sz="4" w:space="0"/>
              <w:left w:val="single" w:color="auto" w:sz="4" w:space="0"/>
              <w:bottom w:val="single" w:color="auto" w:sz="4" w:space="0"/>
              <w:right w:val="single" w:color="auto" w:sz="4" w:space="0"/>
            </w:tcBorders>
            <w:vAlign w:val="center"/>
          </w:tcPr>
          <w:p w14:paraId="320827FE">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必修</w:t>
            </w:r>
          </w:p>
        </w:tc>
        <w:tc>
          <w:tcPr>
            <w:tcW w:w="759" w:type="dxa"/>
            <w:tcBorders>
              <w:top w:val="single" w:color="auto" w:sz="4" w:space="0"/>
              <w:left w:val="single" w:color="auto" w:sz="4" w:space="0"/>
              <w:bottom w:val="single" w:color="auto" w:sz="4" w:space="0"/>
              <w:right w:val="single" w:color="auto" w:sz="4" w:space="0"/>
            </w:tcBorders>
            <w:vAlign w:val="center"/>
          </w:tcPr>
          <w:p w14:paraId="6D69D7E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38</w:t>
            </w:r>
          </w:p>
        </w:tc>
        <w:tc>
          <w:tcPr>
            <w:tcW w:w="759" w:type="dxa"/>
            <w:tcBorders>
              <w:top w:val="single" w:color="auto" w:sz="4" w:space="0"/>
              <w:left w:val="single" w:color="auto" w:sz="4" w:space="0"/>
              <w:bottom w:val="single" w:color="auto" w:sz="4" w:space="0"/>
              <w:right w:val="single" w:color="auto" w:sz="4" w:space="0"/>
            </w:tcBorders>
            <w:vAlign w:val="center"/>
          </w:tcPr>
          <w:p w14:paraId="2D007FF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608</w:t>
            </w:r>
          </w:p>
        </w:tc>
        <w:tc>
          <w:tcPr>
            <w:tcW w:w="759" w:type="dxa"/>
            <w:tcBorders>
              <w:top w:val="single" w:color="auto" w:sz="4" w:space="0"/>
              <w:left w:val="single" w:color="auto" w:sz="4" w:space="0"/>
              <w:bottom w:val="single" w:color="auto" w:sz="4" w:space="0"/>
              <w:right w:val="single" w:color="auto" w:sz="4" w:space="0"/>
            </w:tcBorders>
            <w:vAlign w:val="center"/>
          </w:tcPr>
          <w:p w14:paraId="3C2E424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398</w:t>
            </w:r>
          </w:p>
        </w:tc>
        <w:tc>
          <w:tcPr>
            <w:tcW w:w="759" w:type="dxa"/>
            <w:tcBorders>
              <w:top w:val="single" w:color="auto" w:sz="4" w:space="0"/>
              <w:left w:val="single" w:color="auto" w:sz="4" w:space="0"/>
              <w:bottom w:val="single" w:color="auto" w:sz="4" w:space="0"/>
              <w:right w:val="single" w:color="auto" w:sz="4" w:space="0"/>
            </w:tcBorders>
            <w:vAlign w:val="center"/>
          </w:tcPr>
          <w:p w14:paraId="6A3FC605">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210</w:t>
            </w:r>
          </w:p>
        </w:tc>
        <w:tc>
          <w:tcPr>
            <w:tcW w:w="1108" w:type="dxa"/>
            <w:tcBorders>
              <w:top w:val="single" w:color="auto" w:sz="4" w:space="0"/>
              <w:left w:val="single" w:color="auto" w:sz="4" w:space="0"/>
              <w:bottom w:val="single" w:color="auto" w:sz="4" w:space="0"/>
              <w:right w:val="single" w:color="auto" w:sz="4" w:space="0"/>
            </w:tcBorders>
            <w:vAlign w:val="center"/>
          </w:tcPr>
          <w:p w14:paraId="7A5C301B">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34.5%</w:t>
            </w:r>
          </w:p>
        </w:tc>
        <w:tc>
          <w:tcPr>
            <w:tcW w:w="1466" w:type="dxa"/>
            <w:tcBorders>
              <w:top w:val="single" w:color="auto" w:sz="4" w:space="0"/>
              <w:left w:val="single" w:color="auto" w:sz="4" w:space="0"/>
              <w:bottom w:val="single" w:color="auto" w:sz="4" w:space="0"/>
              <w:right w:val="single" w:color="auto" w:sz="4" w:space="0"/>
            </w:tcBorders>
            <w:vAlign w:val="center"/>
          </w:tcPr>
          <w:p w14:paraId="3C724967">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20.9%</w:t>
            </w:r>
          </w:p>
        </w:tc>
      </w:tr>
      <w:tr w14:paraId="26DD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0B23E768">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毕业实习</w:t>
            </w:r>
          </w:p>
        </w:tc>
        <w:tc>
          <w:tcPr>
            <w:tcW w:w="1185" w:type="dxa"/>
            <w:tcBorders>
              <w:top w:val="single" w:color="auto" w:sz="4" w:space="0"/>
              <w:left w:val="single" w:color="auto" w:sz="4" w:space="0"/>
              <w:bottom w:val="single" w:color="auto" w:sz="4" w:space="0"/>
              <w:right w:val="single" w:color="auto" w:sz="4" w:space="0"/>
            </w:tcBorders>
            <w:vAlign w:val="center"/>
          </w:tcPr>
          <w:p w14:paraId="234DBED0">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必修</w:t>
            </w:r>
          </w:p>
        </w:tc>
        <w:tc>
          <w:tcPr>
            <w:tcW w:w="759" w:type="dxa"/>
            <w:tcBorders>
              <w:top w:val="single" w:color="auto" w:sz="4" w:space="0"/>
              <w:left w:val="single" w:color="auto" w:sz="4" w:space="0"/>
              <w:bottom w:val="single" w:color="auto" w:sz="4" w:space="0"/>
              <w:right w:val="single" w:color="auto" w:sz="4" w:space="0"/>
            </w:tcBorders>
            <w:vAlign w:val="center"/>
          </w:tcPr>
          <w:p w14:paraId="71EF1CC3">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759" w:type="dxa"/>
            <w:tcBorders>
              <w:top w:val="single" w:color="auto" w:sz="4" w:space="0"/>
              <w:left w:val="single" w:color="auto" w:sz="4" w:space="0"/>
              <w:bottom w:val="single" w:color="auto" w:sz="4" w:space="0"/>
              <w:right w:val="single" w:color="auto" w:sz="4" w:space="0"/>
            </w:tcBorders>
            <w:vAlign w:val="center"/>
          </w:tcPr>
          <w:p w14:paraId="6C980BCD">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800</w:t>
            </w:r>
          </w:p>
        </w:tc>
        <w:tc>
          <w:tcPr>
            <w:tcW w:w="759" w:type="dxa"/>
            <w:tcBorders>
              <w:top w:val="single" w:color="auto" w:sz="4" w:space="0"/>
              <w:left w:val="single" w:color="auto" w:sz="4" w:space="0"/>
              <w:bottom w:val="single" w:color="auto" w:sz="4" w:space="0"/>
              <w:right w:val="single" w:color="auto" w:sz="4" w:space="0"/>
            </w:tcBorders>
            <w:vAlign w:val="center"/>
          </w:tcPr>
          <w:p w14:paraId="3F3DFF75">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759" w:type="dxa"/>
            <w:tcBorders>
              <w:top w:val="single" w:color="auto" w:sz="4" w:space="0"/>
              <w:left w:val="single" w:color="auto" w:sz="4" w:space="0"/>
              <w:bottom w:val="single" w:color="auto" w:sz="4" w:space="0"/>
              <w:right w:val="single" w:color="auto" w:sz="4" w:space="0"/>
            </w:tcBorders>
            <w:vAlign w:val="center"/>
          </w:tcPr>
          <w:p w14:paraId="67B7EABA">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800</w:t>
            </w:r>
          </w:p>
        </w:tc>
        <w:tc>
          <w:tcPr>
            <w:tcW w:w="1108" w:type="dxa"/>
            <w:tcBorders>
              <w:top w:val="single" w:color="auto" w:sz="4" w:space="0"/>
              <w:left w:val="single" w:color="auto" w:sz="4" w:space="0"/>
              <w:bottom w:val="single" w:color="auto" w:sz="4" w:space="0"/>
              <w:right w:val="single" w:color="auto" w:sz="4" w:space="0"/>
            </w:tcBorders>
            <w:vAlign w:val="center"/>
          </w:tcPr>
          <w:p w14:paraId="4C5C40F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c>
          <w:tcPr>
            <w:tcW w:w="1466" w:type="dxa"/>
            <w:tcBorders>
              <w:top w:val="single" w:color="auto" w:sz="4" w:space="0"/>
              <w:left w:val="single" w:color="auto" w:sz="4" w:space="0"/>
              <w:bottom w:val="single" w:color="auto" w:sz="4" w:space="0"/>
              <w:right w:val="single" w:color="auto" w:sz="4" w:space="0"/>
            </w:tcBorders>
            <w:vAlign w:val="center"/>
          </w:tcPr>
          <w:p w14:paraId="0E34A417">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27.5%</w:t>
            </w:r>
          </w:p>
        </w:tc>
      </w:tr>
      <w:tr w14:paraId="18C28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933" w:type="dxa"/>
            <w:gridSpan w:val="2"/>
            <w:tcBorders>
              <w:top w:val="single" w:color="auto" w:sz="4" w:space="0"/>
              <w:left w:val="single" w:color="auto" w:sz="4" w:space="0"/>
              <w:bottom w:val="single" w:color="auto" w:sz="4" w:space="0"/>
              <w:right w:val="single" w:color="auto" w:sz="4" w:space="0"/>
            </w:tcBorders>
            <w:vAlign w:val="center"/>
          </w:tcPr>
          <w:p w14:paraId="34E3B461">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必修课小计</w:t>
            </w:r>
          </w:p>
        </w:tc>
        <w:tc>
          <w:tcPr>
            <w:tcW w:w="759" w:type="dxa"/>
            <w:tcBorders>
              <w:top w:val="single" w:color="auto" w:sz="4" w:space="0"/>
              <w:left w:val="single" w:color="auto" w:sz="4" w:space="0"/>
              <w:bottom w:val="single" w:color="auto" w:sz="4" w:space="0"/>
              <w:right w:val="single" w:color="auto" w:sz="4" w:space="0"/>
            </w:tcBorders>
            <w:vAlign w:val="center"/>
          </w:tcPr>
          <w:p w14:paraId="32A29038">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135</w:t>
            </w:r>
          </w:p>
        </w:tc>
        <w:tc>
          <w:tcPr>
            <w:tcW w:w="759" w:type="dxa"/>
            <w:tcBorders>
              <w:top w:val="single" w:color="auto" w:sz="4" w:space="0"/>
              <w:left w:val="single" w:color="auto" w:sz="4" w:space="0"/>
              <w:bottom w:val="single" w:color="auto" w:sz="4" w:space="0"/>
              <w:right w:val="single" w:color="auto" w:sz="4" w:space="0"/>
            </w:tcBorders>
            <w:vAlign w:val="center"/>
          </w:tcPr>
          <w:p w14:paraId="156A8F8F">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2482</w:t>
            </w:r>
          </w:p>
        </w:tc>
        <w:tc>
          <w:tcPr>
            <w:tcW w:w="759" w:type="dxa"/>
            <w:tcBorders>
              <w:top w:val="single" w:color="auto" w:sz="4" w:space="0"/>
              <w:left w:val="single" w:color="auto" w:sz="4" w:space="0"/>
              <w:bottom w:val="single" w:color="auto" w:sz="4" w:space="0"/>
              <w:right w:val="single" w:color="auto" w:sz="4" w:space="0"/>
            </w:tcBorders>
            <w:vAlign w:val="center"/>
          </w:tcPr>
          <w:p w14:paraId="5D47809A">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1046</w:t>
            </w:r>
          </w:p>
        </w:tc>
        <w:tc>
          <w:tcPr>
            <w:tcW w:w="759" w:type="dxa"/>
            <w:tcBorders>
              <w:top w:val="single" w:color="auto" w:sz="4" w:space="0"/>
              <w:left w:val="single" w:color="auto" w:sz="4" w:space="0"/>
              <w:bottom w:val="single" w:color="auto" w:sz="4" w:space="0"/>
              <w:right w:val="single" w:color="auto" w:sz="4" w:space="0"/>
            </w:tcBorders>
            <w:vAlign w:val="center"/>
          </w:tcPr>
          <w:p w14:paraId="2AFCDB0C">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1436</w:t>
            </w:r>
          </w:p>
        </w:tc>
        <w:tc>
          <w:tcPr>
            <w:tcW w:w="1108" w:type="dxa"/>
            <w:tcBorders>
              <w:top w:val="single" w:color="auto" w:sz="4" w:space="0"/>
              <w:left w:val="single" w:color="auto" w:sz="4" w:space="0"/>
              <w:bottom w:val="single" w:color="auto" w:sz="4" w:space="0"/>
              <w:right w:val="single" w:color="auto" w:sz="4" w:space="0"/>
            </w:tcBorders>
            <w:vAlign w:val="center"/>
          </w:tcPr>
          <w:p w14:paraId="6C4342DB">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57.9%</w:t>
            </w:r>
          </w:p>
        </w:tc>
        <w:tc>
          <w:tcPr>
            <w:tcW w:w="1466" w:type="dxa"/>
            <w:tcBorders>
              <w:top w:val="single" w:color="auto" w:sz="4" w:space="0"/>
              <w:left w:val="single" w:color="auto" w:sz="4" w:space="0"/>
              <w:bottom w:val="single" w:color="auto" w:sz="4" w:space="0"/>
              <w:right w:val="single" w:color="auto" w:sz="4" w:space="0"/>
            </w:tcBorders>
            <w:vAlign w:val="center"/>
          </w:tcPr>
          <w:p w14:paraId="2DD498A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85.2%</w:t>
            </w:r>
          </w:p>
        </w:tc>
      </w:tr>
      <w:tr w14:paraId="333F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0AC038E0">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公共基础课程</w:t>
            </w:r>
          </w:p>
        </w:tc>
        <w:tc>
          <w:tcPr>
            <w:tcW w:w="1185" w:type="dxa"/>
            <w:tcBorders>
              <w:top w:val="single" w:color="auto" w:sz="4" w:space="0"/>
              <w:left w:val="single" w:color="auto" w:sz="4" w:space="0"/>
              <w:bottom w:val="single" w:color="auto" w:sz="4" w:space="0"/>
              <w:right w:val="single" w:color="auto" w:sz="4" w:space="0"/>
            </w:tcBorders>
            <w:vAlign w:val="center"/>
          </w:tcPr>
          <w:p w14:paraId="530AF700">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限定选修</w:t>
            </w:r>
          </w:p>
        </w:tc>
        <w:tc>
          <w:tcPr>
            <w:tcW w:w="759" w:type="dxa"/>
            <w:tcBorders>
              <w:top w:val="single" w:color="auto" w:sz="4" w:space="0"/>
              <w:left w:val="single" w:color="auto" w:sz="4" w:space="0"/>
              <w:bottom w:val="single" w:color="auto" w:sz="4" w:space="0"/>
              <w:right w:val="single" w:color="auto" w:sz="4" w:space="0"/>
            </w:tcBorders>
            <w:vAlign w:val="center"/>
          </w:tcPr>
          <w:p w14:paraId="16234E0F">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759" w:type="dxa"/>
            <w:tcBorders>
              <w:top w:val="single" w:color="auto" w:sz="4" w:space="0"/>
              <w:left w:val="single" w:color="auto" w:sz="4" w:space="0"/>
              <w:bottom w:val="single" w:color="auto" w:sz="4" w:space="0"/>
              <w:right w:val="single" w:color="auto" w:sz="4" w:space="0"/>
            </w:tcBorders>
            <w:vAlign w:val="center"/>
          </w:tcPr>
          <w:p w14:paraId="7E62D5C0">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759" w:type="dxa"/>
            <w:tcBorders>
              <w:top w:val="single" w:color="auto" w:sz="4" w:space="0"/>
              <w:left w:val="single" w:color="auto" w:sz="4" w:space="0"/>
              <w:bottom w:val="single" w:color="auto" w:sz="4" w:space="0"/>
              <w:right w:val="single" w:color="auto" w:sz="4" w:space="0"/>
            </w:tcBorders>
            <w:vAlign w:val="center"/>
          </w:tcPr>
          <w:p w14:paraId="426DD33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759" w:type="dxa"/>
            <w:tcBorders>
              <w:top w:val="single" w:color="auto" w:sz="4" w:space="0"/>
              <w:left w:val="single" w:color="auto" w:sz="4" w:space="0"/>
              <w:bottom w:val="single" w:color="auto" w:sz="4" w:space="0"/>
              <w:right w:val="single" w:color="auto" w:sz="4" w:space="0"/>
            </w:tcBorders>
            <w:vAlign w:val="center"/>
          </w:tcPr>
          <w:p w14:paraId="0D3BA610">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108" w:type="dxa"/>
            <w:tcBorders>
              <w:top w:val="single" w:color="auto" w:sz="4" w:space="0"/>
              <w:left w:val="single" w:color="auto" w:sz="4" w:space="0"/>
              <w:bottom w:val="single" w:color="auto" w:sz="4" w:space="0"/>
              <w:right w:val="single" w:color="auto" w:sz="4" w:space="0"/>
            </w:tcBorders>
            <w:vAlign w:val="center"/>
          </w:tcPr>
          <w:p w14:paraId="260CFF61">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39.3%</w:t>
            </w:r>
          </w:p>
        </w:tc>
        <w:tc>
          <w:tcPr>
            <w:tcW w:w="1466" w:type="dxa"/>
            <w:tcBorders>
              <w:top w:val="single" w:color="auto" w:sz="4" w:space="0"/>
              <w:left w:val="single" w:color="auto" w:sz="4" w:space="0"/>
              <w:bottom w:val="single" w:color="auto" w:sz="4" w:space="0"/>
              <w:right w:val="single" w:color="auto" w:sz="4" w:space="0"/>
            </w:tcBorders>
            <w:vAlign w:val="center"/>
          </w:tcPr>
          <w:p w14:paraId="26E777D6">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1.9%</w:t>
            </w:r>
          </w:p>
        </w:tc>
      </w:tr>
      <w:tr w14:paraId="0E662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1A41B713">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专业拓展课程</w:t>
            </w:r>
          </w:p>
        </w:tc>
        <w:tc>
          <w:tcPr>
            <w:tcW w:w="1185" w:type="dxa"/>
            <w:tcBorders>
              <w:top w:val="single" w:color="auto" w:sz="4" w:space="0"/>
              <w:left w:val="single" w:color="auto" w:sz="4" w:space="0"/>
              <w:bottom w:val="single" w:color="auto" w:sz="4" w:space="0"/>
              <w:right w:val="single" w:color="auto" w:sz="4" w:space="0"/>
            </w:tcBorders>
            <w:vAlign w:val="center"/>
          </w:tcPr>
          <w:p w14:paraId="03C78605">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限定选修  任意选修</w:t>
            </w:r>
          </w:p>
        </w:tc>
        <w:tc>
          <w:tcPr>
            <w:tcW w:w="759" w:type="dxa"/>
            <w:tcBorders>
              <w:top w:val="single" w:color="auto" w:sz="4" w:space="0"/>
              <w:left w:val="single" w:color="auto" w:sz="4" w:space="0"/>
              <w:bottom w:val="single" w:color="auto" w:sz="4" w:space="0"/>
              <w:right w:val="single" w:color="auto" w:sz="4" w:space="0"/>
            </w:tcBorders>
            <w:vAlign w:val="center"/>
          </w:tcPr>
          <w:p w14:paraId="05B25B99">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759" w:type="dxa"/>
            <w:tcBorders>
              <w:top w:val="single" w:color="auto" w:sz="4" w:space="0"/>
              <w:left w:val="single" w:color="auto" w:sz="4" w:space="0"/>
              <w:bottom w:val="single" w:color="auto" w:sz="4" w:space="0"/>
              <w:right w:val="single" w:color="auto" w:sz="4" w:space="0"/>
            </w:tcBorders>
            <w:vAlign w:val="center"/>
          </w:tcPr>
          <w:p w14:paraId="5993D6D3">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238</w:t>
            </w:r>
          </w:p>
        </w:tc>
        <w:tc>
          <w:tcPr>
            <w:tcW w:w="759" w:type="dxa"/>
            <w:tcBorders>
              <w:top w:val="single" w:color="auto" w:sz="4" w:space="0"/>
              <w:left w:val="single" w:color="auto" w:sz="4" w:space="0"/>
              <w:bottom w:val="single" w:color="auto" w:sz="4" w:space="0"/>
              <w:right w:val="single" w:color="auto" w:sz="4" w:space="0"/>
            </w:tcBorders>
            <w:vAlign w:val="center"/>
          </w:tcPr>
          <w:p w14:paraId="0F602E03">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759" w:type="dxa"/>
            <w:tcBorders>
              <w:top w:val="single" w:color="auto" w:sz="4" w:space="0"/>
              <w:left w:val="single" w:color="auto" w:sz="4" w:space="0"/>
              <w:bottom w:val="single" w:color="auto" w:sz="4" w:space="0"/>
              <w:right w:val="single" w:color="auto" w:sz="4" w:space="0"/>
            </w:tcBorders>
            <w:vAlign w:val="center"/>
          </w:tcPr>
          <w:p w14:paraId="149AF548">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108" w:type="dxa"/>
            <w:tcBorders>
              <w:top w:val="single" w:color="auto" w:sz="4" w:space="0"/>
              <w:left w:val="single" w:color="auto" w:sz="4" w:space="0"/>
              <w:bottom w:val="single" w:color="auto" w:sz="4" w:space="0"/>
              <w:right w:val="single" w:color="auto" w:sz="4" w:space="0"/>
            </w:tcBorders>
            <w:vAlign w:val="center"/>
          </w:tcPr>
          <w:p w14:paraId="3DDC4FF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31.1%</w:t>
            </w:r>
          </w:p>
        </w:tc>
        <w:tc>
          <w:tcPr>
            <w:tcW w:w="1466" w:type="dxa"/>
            <w:tcBorders>
              <w:top w:val="single" w:color="auto" w:sz="4" w:space="0"/>
              <w:left w:val="single" w:color="auto" w:sz="4" w:space="0"/>
              <w:bottom w:val="single" w:color="auto" w:sz="4" w:space="0"/>
              <w:right w:val="single" w:color="auto" w:sz="4" w:space="0"/>
            </w:tcBorders>
            <w:vAlign w:val="center"/>
          </w:tcPr>
          <w:p w14:paraId="3ECCC365">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8.2%</w:t>
            </w:r>
          </w:p>
        </w:tc>
      </w:tr>
      <w:tr w14:paraId="0E77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933" w:type="dxa"/>
            <w:gridSpan w:val="2"/>
            <w:tcBorders>
              <w:top w:val="single" w:color="auto" w:sz="4" w:space="0"/>
              <w:left w:val="single" w:color="auto" w:sz="4" w:space="0"/>
              <w:bottom w:val="single" w:color="auto" w:sz="4" w:space="0"/>
              <w:right w:val="single" w:color="auto" w:sz="4" w:space="0"/>
            </w:tcBorders>
            <w:vAlign w:val="center"/>
          </w:tcPr>
          <w:p w14:paraId="596335F4">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公共通识选修课</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65BE79A">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8</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4DBE99C6">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136</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959943A">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136</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44058DB">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0FAC46F1">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0.0%</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00F92920">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4.7%</w:t>
            </w:r>
          </w:p>
        </w:tc>
      </w:tr>
      <w:tr w14:paraId="2A10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933" w:type="dxa"/>
            <w:gridSpan w:val="2"/>
            <w:tcBorders>
              <w:top w:val="single" w:color="auto" w:sz="4" w:space="0"/>
              <w:left w:val="single" w:color="auto" w:sz="4" w:space="0"/>
              <w:bottom w:val="single" w:color="auto" w:sz="4" w:space="0"/>
              <w:right w:val="single" w:color="auto" w:sz="4" w:space="0"/>
            </w:tcBorders>
            <w:vAlign w:val="center"/>
          </w:tcPr>
          <w:p w14:paraId="79459202">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选修课小计</w:t>
            </w:r>
          </w:p>
        </w:tc>
        <w:tc>
          <w:tcPr>
            <w:tcW w:w="759" w:type="dxa"/>
            <w:tcBorders>
              <w:top w:val="single" w:color="auto" w:sz="4" w:space="0"/>
              <w:left w:val="single" w:color="auto" w:sz="4" w:space="0"/>
              <w:bottom w:val="single" w:color="auto" w:sz="4" w:space="0"/>
              <w:right w:val="single" w:color="auto" w:sz="4" w:space="0"/>
            </w:tcBorders>
            <w:vAlign w:val="center"/>
          </w:tcPr>
          <w:p w14:paraId="41019EA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27</w:t>
            </w:r>
          </w:p>
        </w:tc>
        <w:tc>
          <w:tcPr>
            <w:tcW w:w="759" w:type="dxa"/>
            <w:tcBorders>
              <w:top w:val="single" w:color="auto" w:sz="4" w:space="0"/>
              <w:left w:val="single" w:color="auto" w:sz="4" w:space="0"/>
              <w:bottom w:val="single" w:color="auto" w:sz="4" w:space="0"/>
              <w:right w:val="single" w:color="auto" w:sz="4" w:space="0"/>
            </w:tcBorders>
            <w:vAlign w:val="center"/>
          </w:tcPr>
          <w:p w14:paraId="297A797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430</w:t>
            </w:r>
          </w:p>
        </w:tc>
        <w:tc>
          <w:tcPr>
            <w:tcW w:w="759" w:type="dxa"/>
            <w:tcBorders>
              <w:top w:val="single" w:color="auto" w:sz="4" w:space="0"/>
              <w:left w:val="single" w:color="auto" w:sz="4" w:space="0"/>
              <w:bottom w:val="single" w:color="auto" w:sz="4" w:space="0"/>
              <w:right w:val="single" w:color="auto" w:sz="4" w:space="0"/>
            </w:tcBorders>
            <w:vAlign w:val="center"/>
          </w:tcPr>
          <w:p w14:paraId="6A76D07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334</w:t>
            </w:r>
          </w:p>
        </w:tc>
        <w:tc>
          <w:tcPr>
            <w:tcW w:w="759" w:type="dxa"/>
            <w:tcBorders>
              <w:top w:val="single" w:color="auto" w:sz="4" w:space="0"/>
              <w:left w:val="single" w:color="auto" w:sz="4" w:space="0"/>
              <w:bottom w:val="single" w:color="auto" w:sz="4" w:space="0"/>
              <w:right w:val="single" w:color="auto" w:sz="4" w:space="0"/>
            </w:tcBorders>
            <w:vAlign w:val="center"/>
          </w:tcPr>
          <w:p w14:paraId="2D54868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96</w:t>
            </w:r>
          </w:p>
        </w:tc>
        <w:tc>
          <w:tcPr>
            <w:tcW w:w="1108" w:type="dxa"/>
            <w:tcBorders>
              <w:top w:val="single" w:color="auto" w:sz="4" w:space="0"/>
              <w:left w:val="single" w:color="auto" w:sz="4" w:space="0"/>
              <w:bottom w:val="single" w:color="auto" w:sz="4" w:space="0"/>
              <w:right w:val="single" w:color="auto" w:sz="4" w:space="0"/>
            </w:tcBorders>
            <w:vAlign w:val="center"/>
          </w:tcPr>
          <w:p w14:paraId="169BBF2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22.3%</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4049D2A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14.8%</w:t>
            </w:r>
          </w:p>
        </w:tc>
      </w:tr>
      <w:tr w14:paraId="749A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933" w:type="dxa"/>
            <w:gridSpan w:val="2"/>
            <w:tcBorders>
              <w:top w:val="single" w:color="auto" w:sz="4" w:space="0"/>
              <w:left w:val="single" w:color="auto" w:sz="4" w:space="0"/>
              <w:bottom w:val="single" w:color="auto" w:sz="4" w:space="0"/>
              <w:right w:val="single" w:color="auto" w:sz="4" w:space="0"/>
            </w:tcBorders>
            <w:vAlign w:val="center"/>
          </w:tcPr>
          <w:p w14:paraId="0276A196">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公共课小计</w:t>
            </w:r>
          </w:p>
        </w:tc>
        <w:tc>
          <w:tcPr>
            <w:tcW w:w="759" w:type="dxa"/>
            <w:tcBorders>
              <w:top w:val="single" w:color="auto" w:sz="4" w:space="0"/>
              <w:left w:val="single" w:color="auto" w:sz="4" w:space="0"/>
              <w:bottom w:val="single" w:color="auto" w:sz="4" w:space="0"/>
              <w:right w:val="single" w:color="auto" w:sz="4" w:space="0"/>
            </w:tcBorders>
            <w:vAlign w:val="center"/>
          </w:tcPr>
          <w:p w14:paraId="7E62945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58</w:t>
            </w:r>
          </w:p>
        </w:tc>
        <w:tc>
          <w:tcPr>
            <w:tcW w:w="759" w:type="dxa"/>
            <w:tcBorders>
              <w:top w:val="single" w:color="auto" w:sz="4" w:space="0"/>
              <w:left w:val="single" w:color="auto" w:sz="4" w:space="0"/>
              <w:bottom w:val="single" w:color="auto" w:sz="4" w:space="0"/>
              <w:right w:val="single" w:color="auto" w:sz="4" w:space="0"/>
            </w:tcBorders>
            <w:vAlign w:val="center"/>
          </w:tcPr>
          <w:p w14:paraId="271BCD5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962</w:t>
            </w:r>
          </w:p>
        </w:tc>
        <w:tc>
          <w:tcPr>
            <w:tcW w:w="759" w:type="dxa"/>
            <w:tcBorders>
              <w:top w:val="single" w:color="auto" w:sz="4" w:space="0"/>
              <w:left w:val="single" w:color="auto" w:sz="4" w:space="0"/>
              <w:bottom w:val="single" w:color="auto" w:sz="4" w:space="0"/>
              <w:right w:val="single" w:color="auto" w:sz="4" w:space="0"/>
            </w:tcBorders>
            <w:vAlign w:val="center"/>
          </w:tcPr>
          <w:p w14:paraId="27C9273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566</w:t>
            </w:r>
          </w:p>
        </w:tc>
        <w:tc>
          <w:tcPr>
            <w:tcW w:w="759" w:type="dxa"/>
            <w:tcBorders>
              <w:top w:val="single" w:color="auto" w:sz="4" w:space="0"/>
              <w:left w:val="single" w:color="auto" w:sz="4" w:space="0"/>
              <w:bottom w:val="single" w:color="auto" w:sz="4" w:space="0"/>
              <w:right w:val="single" w:color="auto" w:sz="4" w:space="0"/>
            </w:tcBorders>
            <w:vAlign w:val="center"/>
          </w:tcPr>
          <w:p w14:paraId="39DBF9D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396</w:t>
            </w:r>
          </w:p>
        </w:tc>
        <w:tc>
          <w:tcPr>
            <w:tcW w:w="1108" w:type="dxa"/>
            <w:tcBorders>
              <w:top w:val="single" w:color="auto" w:sz="4" w:space="0"/>
              <w:left w:val="single" w:color="auto" w:sz="4" w:space="0"/>
              <w:bottom w:val="single" w:color="auto" w:sz="4" w:space="0"/>
              <w:right w:val="single" w:color="auto" w:sz="4" w:space="0"/>
            </w:tcBorders>
            <w:vAlign w:val="center"/>
          </w:tcPr>
          <w:p w14:paraId="1472D19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41.2%</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14:paraId="3572124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33.0%</w:t>
            </w:r>
          </w:p>
        </w:tc>
      </w:tr>
      <w:tr w14:paraId="15F0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933" w:type="dxa"/>
            <w:gridSpan w:val="2"/>
            <w:tcBorders>
              <w:top w:val="single" w:color="auto" w:sz="4" w:space="0"/>
              <w:left w:val="single" w:color="auto" w:sz="4" w:space="0"/>
              <w:bottom w:val="single" w:color="auto" w:sz="4" w:space="0"/>
              <w:right w:val="single" w:color="auto" w:sz="4" w:space="0"/>
            </w:tcBorders>
            <w:vAlign w:val="center"/>
          </w:tcPr>
          <w:p w14:paraId="28D30DBB">
            <w:pPr>
              <w:keepNext w:val="0"/>
              <w:keepLines w:val="0"/>
              <w:pageBreakBefore w:val="0"/>
              <w:widowControl/>
              <w:suppressLineNumbers w:val="0"/>
              <w:kinsoku/>
              <w:wordWrap/>
              <w:topLinePunct w:val="0"/>
              <w:bidi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b w:val="0"/>
                <w:bCs w:val="0"/>
                <w:i w:val="0"/>
                <w:iCs w:val="0"/>
                <w:snapToGrid w:val="0"/>
                <w:color w:val="auto"/>
                <w:kern w:val="0"/>
                <w:sz w:val="22"/>
                <w:szCs w:val="22"/>
                <w:u w:val="none"/>
                <w:lang w:val="en-US" w:eastAsia="zh-CN" w:bidi="ar"/>
              </w:rPr>
              <w:t>总计</w:t>
            </w:r>
          </w:p>
        </w:tc>
        <w:tc>
          <w:tcPr>
            <w:tcW w:w="759" w:type="dxa"/>
            <w:tcBorders>
              <w:top w:val="single" w:color="auto" w:sz="4" w:space="0"/>
              <w:left w:val="single" w:color="auto" w:sz="4" w:space="0"/>
              <w:bottom w:val="single" w:color="auto" w:sz="4" w:space="0"/>
              <w:right w:val="single" w:color="auto" w:sz="4" w:space="0"/>
            </w:tcBorders>
            <w:vAlign w:val="center"/>
          </w:tcPr>
          <w:p w14:paraId="56FB5055">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162</w:t>
            </w:r>
          </w:p>
        </w:tc>
        <w:tc>
          <w:tcPr>
            <w:tcW w:w="759" w:type="dxa"/>
            <w:tcBorders>
              <w:top w:val="single" w:color="auto" w:sz="4" w:space="0"/>
              <w:left w:val="single" w:color="auto" w:sz="4" w:space="0"/>
              <w:bottom w:val="single" w:color="auto" w:sz="4" w:space="0"/>
              <w:right w:val="single" w:color="auto" w:sz="4" w:space="0"/>
            </w:tcBorders>
            <w:vAlign w:val="center"/>
          </w:tcPr>
          <w:p w14:paraId="7121F2D7">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2912</w:t>
            </w:r>
          </w:p>
        </w:tc>
        <w:tc>
          <w:tcPr>
            <w:tcW w:w="759" w:type="dxa"/>
            <w:tcBorders>
              <w:top w:val="single" w:color="auto" w:sz="4" w:space="0"/>
              <w:left w:val="single" w:color="auto" w:sz="4" w:space="0"/>
              <w:bottom w:val="single" w:color="auto" w:sz="4" w:space="0"/>
              <w:right w:val="single" w:color="auto" w:sz="4" w:space="0"/>
            </w:tcBorders>
            <w:vAlign w:val="center"/>
          </w:tcPr>
          <w:p w14:paraId="12B8E509">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1380</w:t>
            </w:r>
          </w:p>
        </w:tc>
        <w:tc>
          <w:tcPr>
            <w:tcW w:w="759" w:type="dxa"/>
            <w:tcBorders>
              <w:top w:val="single" w:color="auto" w:sz="4" w:space="0"/>
              <w:left w:val="single" w:color="auto" w:sz="4" w:space="0"/>
              <w:bottom w:val="single" w:color="auto" w:sz="4" w:space="0"/>
              <w:right w:val="single" w:color="auto" w:sz="4" w:space="0"/>
            </w:tcBorders>
            <w:vAlign w:val="center"/>
          </w:tcPr>
          <w:p w14:paraId="3CB781D8">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1532</w:t>
            </w:r>
          </w:p>
        </w:tc>
        <w:tc>
          <w:tcPr>
            <w:tcW w:w="1108" w:type="dxa"/>
            <w:tcBorders>
              <w:top w:val="single" w:color="auto" w:sz="4" w:space="0"/>
              <w:left w:val="single" w:color="auto" w:sz="4" w:space="0"/>
              <w:bottom w:val="single" w:color="auto" w:sz="4" w:space="0"/>
              <w:right w:val="single" w:color="auto" w:sz="4" w:space="0"/>
            </w:tcBorders>
            <w:vAlign w:val="center"/>
          </w:tcPr>
          <w:p w14:paraId="711B8D22">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52.6%</w:t>
            </w:r>
          </w:p>
        </w:tc>
        <w:tc>
          <w:tcPr>
            <w:tcW w:w="1466" w:type="dxa"/>
            <w:tcBorders>
              <w:top w:val="single" w:color="auto" w:sz="4" w:space="0"/>
              <w:left w:val="single" w:color="auto" w:sz="4" w:space="0"/>
              <w:bottom w:val="single" w:color="auto" w:sz="4" w:space="0"/>
              <w:right w:val="single" w:color="auto" w:sz="4" w:space="0"/>
            </w:tcBorders>
            <w:vAlign w:val="center"/>
          </w:tcPr>
          <w:p w14:paraId="66249B74">
            <w:pPr>
              <w:keepNext w:val="0"/>
              <w:keepLines w:val="0"/>
              <w:widowControl/>
              <w:suppressLineNumbers w:val="0"/>
              <w:jc w:val="center"/>
              <w:textAlignment w:val="center"/>
              <w:rPr>
                <w:rFonts w:hint="default" w:ascii="Times New Roman" w:hAnsi="Times New Roman" w:eastAsia="宋体" w:cs="Times New Roman"/>
                <w:b w:val="0"/>
                <w:bCs w:val="0"/>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r>
    </w:tbl>
    <w:p w14:paraId="77067B7B">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0" w:name="_Toc26356"/>
      <w:r>
        <w:rPr>
          <w:rFonts w:hint="default"/>
          <w:b/>
        </w:rPr>
        <w:t>八、 实施保障</w:t>
      </w:r>
      <w:bookmarkEnd w:id="20"/>
    </w:p>
    <w:p w14:paraId="0FB5C787">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1" w:name="_Toc28789"/>
      <w:r>
        <w:rPr>
          <w:rFonts w:hint="default"/>
          <w:b/>
        </w:rPr>
        <w:t>（一）师资队伍</w:t>
      </w:r>
      <w:bookmarkEnd w:id="21"/>
    </w:p>
    <w:p w14:paraId="20B43560">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1.队伍结构</w:t>
      </w:r>
    </w:p>
    <w:p w14:paraId="2A22D395">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本专业现有专任教师</w:t>
      </w:r>
      <w:r>
        <w:rPr>
          <w:rFonts w:hint="eastAsia" w:ascii="Times New Roman" w:hAnsi="Times New Roman" w:cs="Times New Roman"/>
          <w:color w:val="auto"/>
          <w:sz w:val="31"/>
          <w:szCs w:val="31"/>
          <w:lang w:val="en-US" w:eastAsia="zh-CN"/>
        </w:rPr>
        <w:t>33</w:t>
      </w:r>
      <w:r>
        <w:rPr>
          <w:rFonts w:hint="default" w:ascii="Times New Roman" w:hAnsi="Times New Roman" w:cs="Times New Roman"/>
          <w:color w:val="auto"/>
          <w:sz w:val="31"/>
          <w:szCs w:val="31"/>
        </w:rPr>
        <w:t>人，其中基础课教师14人，专业课教师1</w:t>
      </w:r>
      <w:r>
        <w:rPr>
          <w:rFonts w:hint="eastAsia" w:ascii="Times New Roman" w:hAnsi="Times New Roman" w:cs="Times New Roman"/>
          <w:color w:val="auto"/>
          <w:sz w:val="31"/>
          <w:szCs w:val="31"/>
          <w:lang w:val="en-US" w:eastAsia="zh-CN"/>
        </w:rPr>
        <w:t>9</w:t>
      </w:r>
      <w:r>
        <w:rPr>
          <w:rFonts w:hint="default" w:ascii="Times New Roman" w:hAnsi="Times New Roman" w:cs="Times New Roman"/>
          <w:color w:val="auto"/>
          <w:sz w:val="31"/>
          <w:szCs w:val="31"/>
        </w:rPr>
        <w:t>人，副高及以上职称教师13人，双师素质教师占90%。</w:t>
      </w:r>
    </w:p>
    <w:p w14:paraId="729768F0">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2.专任教师</w:t>
      </w:r>
    </w:p>
    <w:p w14:paraId="34F908CF">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本专业教师具有高校教师资格证占9</w:t>
      </w:r>
      <w:r>
        <w:rPr>
          <w:rFonts w:hint="default" w:ascii="Times New Roman" w:hAnsi="Times New Roman" w:cs="Times New Roman"/>
          <w:color w:val="auto"/>
          <w:sz w:val="31"/>
          <w:szCs w:val="31"/>
          <w:lang w:val="en-US" w:eastAsia="zh-CN"/>
        </w:rPr>
        <w:t>8</w:t>
      </w:r>
      <w:r>
        <w:rPr>
          <w:rFonts w:hint="default" w:ascii="Times New Roman" w:hAnsi="Times New Roman" w:cs="Times New Roman"/>
          <w:color w:val="auto"/>
          <w:sz w:val="31"/>
          <w:szCs w:val="31"/>
        </w:rPr>
        <w:t>%，教师教书育人理想信念坚定，师德师风良好，学识扎实，实践技能操作能力强，信息化教学能力强，具有良好的教育教学改革能力。</w:t>
      </w:r>
    </w:p>
    <w:p w14:paraId="5EDAD38F">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3.专业带头人</w:t>
      </w:r>
    </w:p>
    <w:p w14:paraId="008C8AA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本专业正高职称专业带头人</w:t>
      </w:r>
      <w:r>
        <w:rPr>
          <w:rFonts w:hint="default" w:ascii="Times New Roman" w:hAnsi="Times New Roman" w:cs="Times New Roman"/>
          <w:color w:val="auto"/>
          <w:sz w:val="31"/>
          <w:szCs w:val="31"/>
          <w:lang w:val="en-US" w:eastAsia="zh-CN"/>
        </w:rPr>
        <w:t>3</w:t>
      </w:r>
      <w:r>
        <w:rPr>
          <w:rFonts w:hint="default" w:ascii="Times New Roman" w:hAnsi="Times New Roman" w:cs="Times New Roman"/>
          <w:color w:val="auto"/>
          <w:sz w:val="31"/>
          <w:szCs w:val="31"/>
        </w:rPr>
        <w:t>人，担任甘肃省口腔医学会常务理事</w:t>
      </w:r>
      <w:r>
        <w:rPr>
          <w:rFonts w:hint="default" w:ascii="Times New Roman" w:hAnsi="Times New Roman" w:cs="Times New Roman"/>
          <w:color w:val="auto"/>
          <w:sz w:val="31"/>
          <w:szCs w:val="31"/>
          <w:lang w:val="en-US" w:eastAsia="zh-CN"/>
        </w:rPr>
        <w:t>等职务</w:t>
      </w:r>
      <w:r>
        <w:rPr>
          <w:rFonts w:hint="default" w:ascii="Times New Roman" w:hAnsi="Times New Roman" w:cs="Times New Roman"/>
          <w:color w:val="auto"/>
          <w:sz w:val="31"/>
          <w:szCs w:val="31"/>
        </w:rPr>
        <w:t>，能够较好地把握国内外口腔医学专业、行业的发展</w:t>
      </w:r>
      <w:r>
        <w:rPr>
          <w:rFonts w:hint="eastAsia" w:ascii="Times New Roman" w:hAnsi="Times New Roman" w:cs="Times New Roman"/>
          <w:color w:val="auto"/>
          <w:sz w:val="31"/>
          <w:szCs w:val="31"/>
          <w:lang w:eastAsia="zh-CN"/>
        </w:rPr>
        <w:t>，具</w:t>
      </w:r>
      <w:r>
        <w:rPr>
          <w:rFonts w:hint="default" w:ascii="Times New Roman" w:hAnsi="Times New Roman" w:cs="Times New Roman"/>
          <w:color w:val="auto"/>
          <w:sz w:val="31"/>
          <w:szCs w:val="31"/>
        </w:rPr>
        <w:t>有较高的专业水平和较强的科研能力，能够引领专业建设及教学改革，在本区域及本领域具有一定的影响力。</w:t>
      </w:r>
    </w:p>
    <w:p w14:paraId="1212943E">
      <w:pPr>
        <w:pStyle w:val="12"/>
        <w:keepNext w:val="0"/>
        <w:keepLines w:val="0"/>
        <w:pageBreakBefore w:val="0"/>
        <w:widowControl/>
        <w:numPr>
          <w:ilvl w:val="0"/>
          <w:numId w:val="3"/>
        </w:numPr>
        <w:kinsoku/>
        <w:wordWrap/>
        <w:overflowPunct/>
        <w:topLinePunct w:val="0"/>
        <w:autoSpaceDE w:val="0"/>
        <w:autoSpaceDN w:val="0"/>
        <w:bidi w:val="0"/>
        <w:adjustRightInd w:val="0"/>
        <w:snapToGrid w:val="0"/>
        <w:spacing w:line="320" w:lineRule="auto"/>
        <w:ind w:left="0" w:leftChars="0" w:firstLine="934" w:firstLineChars="300"/>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兼职教师</w:t>
      </w:r>
    </w:p>
    <w:p w14:paraId="4FE15C67">
      <w:pPr>
        <w:pStyle w:val="12"/>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auto"/>
        <w:ind w:firstLine="620" w:firstLineChars="200"/>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本专业对接口腔专科医院和三甲医院口腔科，聘请行业兼职教师10人，兼职教师具有良好的思想政治素质、职业道德，具有中级及以上专业技术职称，在行业技术岗位工作5年以上，能够承担专业课程教学、实习、实训指导和学生职业发展规划指导等教学任务。</w:t>
      </w:r>
    </w:p>
    <w:p w14:paraId="7F35A3AD">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2" w:name="_Toc14228"/>
      <w:r>
        <w:rPr>
          <w:rFonts w:hint="default"/>
          <w:b/>
        </w:rPr>
        <w:t>（二）教学设施</w:t>
      </w:r>
      <w:bookmarkEnd w:id="22"/>
    </w:p>
    <w:p w14:paraId="3DB34B79">
      <w:pPr>
        <w:pStyle w:val="5"/>
        <w:keepNext w:val="0"/>
        <w:keepLines w:val="0"/>
        <w:pageBreakBefore w:val="0"/>
        <w:widowControl/>
        <w:kinsoku/>
        <w:wordWrap/>
        <w:overflowPunct/>
        <w:topLinePunct w:val="0"/>
        <w:autoSpaceDE w:val="0"/>
        <w:autoSpaceDN w:val="0"/>
        <w:bidi w:val="0"/>
        <w:adjustRightInd w:val="0"/>
        <w:snapToGrid w:val="0"/>
        <w:spacing w:before="175" w:line="320" w:lineRule="auto"/>
        <w:ind w:firstLine="622" w:firstLineChars="200"/>
        <w:textAlignment w:val="baseline"/>
        <w:rPr>
          <w:rFonts w:hint="default" w:ascii="Times New Roman" w:hAnsi="Times New Roman" w:cs="Times New Roman"/>
          <w:color w:val="auto"/>
          <w:sz w:val="31"/>
          <w:szCs w:val="31"/>
        </w:rPr>
      </w:pPr>
      <w:r>
        <w:rPr>
          <w:rFonts w:hint="default" w:ascii="Times New Roman" w:hAnsi="Times New Roman" w:cs="Times New Roman"/>
          <w:b/>
          <w:bCs/>
          <w:color w:val="auto"/>
          <w:sz w:val="31"/>
          <w:szCs w:val="31"/>
        </w:rPr>
        <w:t>1.</w:t>
      </w:r>
      <w:r>
        <w:rPr>
          <w:rFonts w:hint="default" w:ascii="Times New Roman" w:hAnsi="Times New Roman" w:cs="Times New Roman"/>
          <w:color w:val="auto"/>
          <w:spacing w:val="36"/>
          <w:sz w:val="31"/>
          <w:szCs w:val="31"/>
        </w:rPr>
        <w:t xml:space="preserve"> </w:t>
      </w:r>
      <w:r>
        <w:rPr>
          <w:rFonts w:hint="default" w:ascii="Times New Roman" w:hAnsi="Times New Roman" w:cs="Times New Roman"/>
          <w:b/>
          <w:bCs/>
          <w:color w:val="auto"/>
          <w:sz w:val="31"/>
          <w:szCs w:val="31"/>
        </w:rPr>
        <w:t>专业教室基本条件</w:t>
      </w:r>
    </w:p>
    <w:p w14:paraId="1530C9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19" w:firstLine="622" w:firstLineChars="200"/>
        <w:textAlignment w:val="baseline"/>
        <w:rPr>
          <w:rFonts w:hint="default" w:ascii="Times New Roman" w:hAnsi="Times New Roman" w:eastAsia="仿宋_GB2312" w:cs="Times New Roman"/>
          <w:b/>
          <w:bCs/>
          <w:snapToGrid w:val="0"/>
          <w:color w:val="auto"/>
          <w:kern w:val="0"/>
          <w:sz w:val="31"/>
          <w:szCs w:val="31"/>
          <w:lang w:val="en-US" w:eastAsia="zh-CN" w:bidi="ar-SA"/>
        </w:rPr>
      </w:pPr>
      <w:r>
        <w:rPr>
          <w:rFonts w:hint="default" w:ascii="Times New Roman" w:hAnsi="Times New Roman" w:eastAsia="仿宋_GB2312" w:cs="Times New Roman"/>
          <w:b/>
          <w:bCs/>
          <w:snapToGrid w:val="0"/>
          <w:color w:val="auto"/>
          <w:kern w:val="0"/>
          <w:sz w:val="31"/>
          <w:szCs w:val="31"/>
          <w:lang w:val="en-US" w:eastAsia="zh-CN" w:bidi="ar-SA"/>
        </w:rPr>
        <w:t>（1）普通教室</w:t>
      </w:r>
    </w:p>
    <w:p w14:paraId="6C64FA4D">
      <w:pPr>
        <w:pStyle w:val="1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napToGrid w:val="0"/>
          <w:color w:val="auto"/>
          <w:kern w:val="0"/>
          <w:sz w:val="31"/>
          <w:szCs w:val="31"/>
          <w:lang w:val="en-US" w:eastAsia="zh-CN" w:bidi="ar-SA"/>
        </w:rPr>
      </w:pPr>
      <w:r>
        <w:rPr>
          <w:rFonts w:hint="default" w:ascii="Times New Roman" w:hAnsi="Times New Roman" w:eastAsia="仿宋_GB2312" w:cs="Times New Roman"/>
          <w:snapToGrid w:val="0"/>
          <w:color w:val="auto"/>
          <w:kern w:val="0"/>
          <w:sz w:val="31"/>
          <w:szCs w:val="31"/>
          <w:lang w:val="en-US" w:eastAsia="en-US" w:bidi="ar-SA"/>
        </w:rPr>
        <w:t>配备黑（白）板、多媒体计算机、投影设备、音响设备、互联网接入或者Wi-Fi环境，并实施</w:t>
      </w:r>
      <w:r>
        <w:rPr>
          <w:rFonts w:hint="default" w:ascii="Times New Roman" w:hAnsi="Times New Roman" w:cs="Times New Roman"/>
          <w:color w:val="auto"/>
          <w:sz w:val="31"/>
          <w:szCs w:val="31"/>
        </w:rPr>
        <w:t>网络安全防护措施；安装应急照明设备并保持良好状态，符合紧急疏散要求，标志明显，保持逃生通道畅通无阻。</w:t>
      </w:r>
    </w:p>
    <w:p w14:paraId="7EF636E6">
      <w:pPr>
        <w:pStyle w:val="12"/>
        <w:keepNext w:val="0"/>
        <w:keepLines w:val="0"/>
        <w:pageBreakBefore w:val="0"/>
        <w:widowControl/>
        <w:numPr>
          <w:ilvl w:val="0"/>
          <w:numId w:val="4"/>
        </w:numPr>
        <w:kinsoku/>
        <w:wordWrap/>
        <w:overflowPunct/>
        <w:topLinePunct w:val="0"/>
        <w:autoSpaceDE w:val="0"/>
        <w:autoSpaceDN w:val="0"/>
        <w:bidi w:val="0"/>
        <w:adjustRightInd w:val="0"/>
        <w:snapToGrid w:val="0"/>
        <w:spacing w:line="320" w:lineRule="auto"/>
        <w:textAlignment w:val="baseline"/>
        <w:rPr>
          <w:rFonts w:hint="default" w:ascii="Times New Roman" w:hAnsi="Times New Roman" w:eastAsia="仿宋_GB2312" w:cs="Times New Roman"/>
          <w:b/>
          <w:bCs/>
          <w:snapToGrid w:val="0"/>
          <w:color w:val="auto"/>
          <w:kern w:val="0"/>
          <w:sz w:val="31"/>
          <w:szCs w:val="31"/>
          <w:lang w:val="en-US" w:eastAsia="zh-CN" w:bidi="ar-SA"/>
        </w:rPr>
      </w:pPr>
      <w:r>
        <w:rPr>
          <w:rFonts w:hint="default" w:ascii="Times New Roman" w:hAnsi="Times New Roman" w:eastAsia="仿宋_GB2312" w:cs="Times New Roman"/>
          <w:b/>
          <w:bCs/>
          <w:snapToGrid w:val="0"/>
          <w:color w:val="auto"/>
          <w:kern w:val="0"/>
          <w:sz w:val="31"/>
          <w:szCs w:val="31"/>
          <w:lang w:val="en-US" w:eastAsia="zh-CN" w:bidi="ar-SA"/>
        </w:rPr>
        <w:t>理实一体化教室</w:t>
      </w:r>
    </w:p>
    <w:p w14:paraId="638F16E2">
      <w:pPr>
        <w:pStyle w:val="12"/>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auto"/>
        <w:ind w:firstLine="620" w:firstLineChars="200"/>
        <w:textAlignment w:val="baseline"/>
        <w:rPr>
          <w:rFonts w:hint="default" w:ascii="Times New Roman" w:hAnsi="Times New Roman" w:eastAsia="仿宋_GB2312" w:cs="Times New Roman"/>
          <w:snapToGrid w:val="0"/>
          <w:color w:val="auto"/>
          <w:kern w:val="0"/>
          <w:sz w:val="31"/>
          <w:szCs w:val="31"/>
          <w:lang w:val="en-US" w:eastAsia="zh-CN" w:bidi="ar-SA"/>
        </w:rPr>
      </w:pPr>
      <w:r>
        <w:rPr>
          <w:rFonts w:hint="default" w:ascii="Times New Roman" w:hAnsi="Times New Roman" w:eastAsia="仿宋_GB2312" w:cs="Times New Roman"/>
          <w:snapToGrid w:val="0"/>
          <w:color w:val="auto"/>
          <w:kern w:val="0"/>
          <w:sz w:val="31"/>
          <w:szCs w:val="31"/>
          <w:lang w:val="en-US" w:eastAsia="zh-CN" w:bidi="ar-SA"/>
        </w:rPr>
        <w:t>教室对标口腔门诊标准建设，功能分区清晰，涵盖理论教学、临床实操等区域，场地采光通风良好，满足班级同步教学需求。教室配齐仿真头模、牙科诊疗设备、技工实训器材及示教直播系统，设备贴合临床标准，可支撑核心课程理实同步教学。配套完善的多媒体信息化设备与口腔数字化教学资源，支持线上线下融合教学</w:t>
      </w:r>
      <w:r>
        <w:rPr>
          <w:rFonts w:hint="default" w:ascii="Times New Roman" w:hAnsi="Times New Roman" w:cs="Times New Roman"/>
          <w:snapToGrid w:val="0"/>
          <w:color w:val="auto"/>
          <w:kern w:val="0"/>
          <w:sz w:val="31"/>
          <w:szCs w:val="31"/>
          <w:lang w:val="en-US" w:eastAsia="zh-CN" w:bidi="ar-SA"/>
        </w:rPr>
        <w:t>，</w:t>
      </w:r>
      <w:r>
        <w:rPr>
          <w:rFonts w:hint="default" w:ascii="Times New Roman" w:hAnsi="Times New Roman" w:eastAsia="仿宋_GB2312" w:cs="Times New Roman"/>
          <w:snapToGrid w:val="0"/>
          <w:color w:val="auto"/>
          <w:kern w:val="0"/>
          <w:sz w:val="31"/>
          <w:szCs w:val="31"/>
          <w:lang w:val="en-US" w:eastAsia="zh-CN" w:bidi="ar-SA"/>
        </w:rPr>
        <w:t>高度还原临床岗位场景</w:t>
      </w:r>
      <w:r>
        <w:rPr>
          <w:rFonts w:hint="default" w:ascii="Times New Roman" w:hAnsi="Times New Roman" w:cs="Times New Roman"/>
          <w:snapToGrid w:val="0"/>
          <w:color w:val="auto"/>
          <w:kern w:val="0"/>
          <w:sz w:val="31"/>
          <w:szCs w:val="31"/>
          <w:lang w:val="en-US" w:eastAsia="zh-CN" w:bidi="ar-SA"/>
        </w:rPr>
        <w:t>。</w:t>
      </w:r>
    </w:p>
    <w:p w14:paraId="605AEC8D">
      <w:pPr>
        <w:pStyle w:val="5"/>
        <w:keepNext w:val="0"/>
        <w:keepLines w:val="0"/>
        <w:pageBreakBefore w:val="0"/>
        <w:kinsoku/>
        <w:wordWrap/>
        <w:topLinePunct w:val="0"/>
        <w:bidi w:val="0"/>
        <w:spacing w:before="179" w:line="227" w:lineRule="auto"/>
        <w:ind w:firstLine="642" w:firstLineChars="200"/>
        <w:rPr>
          <w:rFonts w:hint="default" w:ascii="Times New Roman" w:hAnsi="Times New Roman" w:cs="Times New Roman"/>
          <w:color w:val="auto"/>
          <w:sz w:val="31"/>
          <w:szCs w:val="31"/>
        </w:rPr>
      </w:pPr>
      <w:r>
        <w:rPr>
          <w:rFonts w:hint="default" w:ascii="Times New Roman" w:hAnsi="Times New Roman" w:cs="Times New Roman"/>
          <w:b/>
          <w:bCs/>
          <w:color w:val="auto"/>
          <w:spacing w:val="5"/>
          <w:sz w:val="31"/>
          <w:szCs w:val="31"/>
        </w:rPr>
        <w:t>2.</w:t>
      </w:r>
      <w:r>
        <w:rPr>
          <w:rFonts w:hint="default" w:ascii="Times New Roman" w:hAnsi="Times New Roman" w:cs="Times New Roman"/>
          <w:color w:val="auto"/>
          <w:spacing w:val="5"/>
          <w:sz w:val="31"/>
          <w:szCs w:val="31"/>
        </w:rPr>
        <w:t xml:space="preserve"> </w:t>
      </w:r>
      <w:r>
        <w:rPr>
          <w:rFonts w:hint="default" w:ascii="Times New Roman" w:hAnsi="Times New Roman" w:cs="Times New Roman"/>
          <w:b/>
          <w:bCs/>
          <w:color w:val="auto"/>
          <w:spacing w:val="5"/>
          <w:sz w:val="31"/>
          <w:szCs w:val="31"/>
        </w:rPr>
        <w:t>校内</w:t>
      </w:r>
      <w:r>
        <w:rPr>
          <w:rFonts w:hint="default" w:ascii="Times New Roman" w:hAnsi="Times New Roman" w:cs="Times New Roman"/>
          <w:b/>
          <w:bCs/>
          <w:color w:val="auto"/>
          <w:spacing w:val="5"/>
          <w:sz w:val="31"/>
          <w:szCs w:val="31"/>
          <w:lang w:val="en-US" w:eastAsia="zh-CN"/>
        </w:rPr>
        <w:t>实验、</w:t>
      </w:r>
      <w:r>
        <w:rPr>
          <w:rFonts w:hint="default" w:ascii="Times New Roman" w:hAnsi="Times New Roman" w:cs="Times New Roman"/>
          <w:b/>
          <w:bCs/>
          <w:color w:val="auto"/>
          <w:spacing w:val="5"/>
          <w:sz w:val="31"/>
          <w:szCs w:val="31"/>
        </w:rPr>
        <w:t>实训基地一览表</w:t>
      </w:r>
    </w:p>
    <w:tbl>
      <w:tblPr>
        <w:tblStyle w:val="9"/>
        <w:tblW w:w="9072" w:type="dxa"/>
        <w:jc w:val="center"/>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Layout w:type="fixed"/>
        <w:tblCellMar>
          <w:top w:w="0" w:type="dxa"/>
          <w:left w:w="57" w:type="dxa"/>
          <w:bottom w:w="0" w:type="dxa"/>
          <w:right w:w="57" w:type="dxa"/>
        </w:tblCellMar>
      </w:tblPr>
      <w:tblGrid>
        <w:gridCol w:w="540"/>
        <w:gridCol w:w="1417"/>
        <w:gridCol w:w="1559"/>
        <w:gridCol w:w="2835"/>
        <w:gridCol w:w="2721"/>
      </w:tblGrid>
      <w:tr w14:paraId="722A9B06">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400" w:hRule="atLeast"/>
          <w:tblHeader/>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064E84AB">
            <w:pPr>
              <w:spacing w:line="300" w:lineRule="exact"/>
              <w:ind w:left="-50" w:right="-5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序号</w:t>
            </w:r>
          </w:p>
        </w:tc>
        <w:tc>
          <w:tcPr>
            <w:tcW w:w="1417" w:type="dxa"/>
            <w:tcBorders>
              <w:top w:val="single" w:color="000000" w:sz="6" w:space="0"/>
              <w:left w:val="nil"/>
              <w:bottom w:val="single" w:color="000000" w:sz="6" w:space="0"/>
              <w:right w:val="single" w:color="000000" w:sz="6" w:space="0"/>
            </w:tcBorders>
            <w:noWrap w:val="0"/>
            <w:vAlign w:val="center"/>
          </w:tcPr>
          <w:p w14:paraId="47209E6C">
            <w:pPr>
              <w:spacing w:line="300" w:lineRule="exact"/>
              <w:ind w:left="-50" w:right="-50"/>
              <w:jc w:val="center"/>
              <w:rPr>
                <w:rFonts w:hint="default" w:ascii="Times New Roman" w:hAnsi="Times New Roman" w:eastAsia="仿宋_GB2312" w:cs="Times New Roman"/>
                <w:b/>
                <w:szCs w:val="21"/>
              </w:rPr>
            </w:pPr>
            <w:r>
              <w:rPr>
                <w:rFonts w:hint="default" w:ascii="Times New Roman" w:hAnsi="Times New Roman" w:eastAsia="仿宋_GB2312" w:cs="Times New Roman"/>
                <w:b/>
                <w:color w:val="000000"/>
                <w:szCs w:val="21"/>
              </w:rPr>
              <w:t>实验</w:t>
            </w:r>
            <w:r>
              <w:rPr>
                <w:rFonts w:hint="default" w:ascii="Times New Roman" w:hAnsi="Times New Roman" w:eastAsia="仿宋_GB2312" w:cs="Times New Roman"/>
                <w:b/>
                <w:szCs w:val="21"/>
              </w:rPr>
              <w:t>实训室</w:t>
            </w:r>
          </w:p>
          <w:p w14:paraId="32D03AA0">
            <w:pPr>
              <w:spacing w:line="300" w:lineRule="exact"/>
              <w:ind w:left="-50" w:right="-5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名称</w:t>
            </w:r>
          </w:p>
        </w:tc>
        <w:tc>
          <w:tcPr>
            <w:tcW w:w="1559" w:type="dxa"/>
            <w:tcBorders>
              <w:top w:val="single" w:color="000000" w:sz="6" w:space="0"/>
              <w:left w:val="nil"/>
              <w:bottom w:val="single" w:color="000000" w:sz="6" w:space="0"/>
              <w:right w:val="single" w:color="000000" w:sz="6" w:space="0"/>
            </w:tcBorders>
            <w:noWrap w:val="0"/>
            <w:vAlign w:val="center"/>
          </w:tcPr>
          <w:p w14:paraId="6EE5B907">
            <w:pPr>
              <w:spacing w:line="300" w:lineRule="exact"/>
              <w:ind w:left="-50" w:right="-5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实验实训课程</w:t>
            </w:r>
          </w:p>
        </w:tc>
        <w:tc>
          <w:tcPr>
            <w:tcW w:w="2835" w:type="dxa"/>
            <w:tcBorders>
              <w:top w:val="single" w:color="000000" w:sz="6" w:space="0"/>
              <w:left w:val="nil"/>
              <w:bottom w:val="single" w:color="000000" w:sz="6" w:space="0"/>
              <w:right w:val="single" w:color="000000" w:sz="6" w:space="0"/>
            </w:tcBorders>
            <w:noWrap w:val="0"/>
            <w:vAlign w:val="center"/>
          </w:tcPr>
          <w:p w14:paraId="7EAB4966">
            <w:pPr>
              <w:spacing w:line="300" w:lineRule="exact"/>
              <w:ind w:left="-50" w:right="-5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实验实训项目</w:t>
            </w:r>
          </w:p>
        </w:tc>
        <w:tc>
          <w:tcPr>
            <w:tcW w:w="2721" w:type="dxa"/>
            <w:tcBorders>
              <w:top w:val="single" w:color="000000" w:sz="6" w:space="0"/>
              <w:left w:val="nil"/>
              <w:bottom w:val="single" w:color="000000" w:sz="6" w:space="0"/>
              <w:right w:val="single" w:color="auto" w:sz="4" w:space="0"/>
            </w:tcBorders>
            <w:noWrap w:val="0"/>
            <w:vAlign w:val="center"/>
          </w:tcPr>
          <w:p w14:paraId="0CFDE7E2">
            <w:pPr>
              <w:spacing w:line="300" w:lineRule="exact"/>
              <w:ind w:left="-50" w:right="-5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 xml:space="preserve">主要设备配置 </w:t>
            </w:r>
          </w:p>
        </w:tc>
      </w:tr>
      <w:tr w14:paraId="512A5AA5">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527"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52E0D438">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417" w:type="dxa"/>
            <w:tcBorders>
              <w:top w:val="single" w:color="000000" w:sz="6" w:space="0"/>
              <w:left w:val="nil"/>
              <w:bottom w:val="single" w:color="000000" w:sz="6" w:space="0"/>
              <w:right w:val="single" w:color="000000" w:sz="6" w:space="0"/>
            </w:tcBorders>
            <w:noWrap w:val="0"/>
            <w:vAlign w:val="center"/>
          </w:tcPr>
          <w:p w14:paraId="5B903782">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人体解剖学与组织胚胎学</w:t>
            </w:r>
          </w:p>
          <w:p w14:paraId="29B05592">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实验室</w:t>
            </w:r>
          </w:p>
        </w:tc>
        <w:tc>
          <w:tcPr>
            <w:tcW w:w="1559" w:type="dxa"/>
            <w:tcBorders>
              <w:top w:val="single" w:color="000000" w:sz="6" w:space="0"/>
              <w:left w:val="nil"/>
              <w:bottom w:val="single" w:color="000000" w:sz="6" w:space="0"/>
              <w:right w:val="single" w:color="000000" w:sz="6" w:space="0"/>
            </w:tcBorders>
            <w:noWrap w:val="0"/>
            <w:vAlign w:val="center"/>
          </w:tcPr>
          <w:p w14:paraId="2E19AB79">
            <w:pPr>
              <w:spacing w:line="2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人体解剖学与组织胚胎学</w:t>
            </w:r>
          </w:p>
        </w:tc>
        <w:tc>
          <w:tcPr>
            <w:tcW w:w="2835" w:type="dxa"/>
            <w:tcBorders>
              <w:top w:val="single" w:color="000000" w:sz="6" w:space="0"/>
              <w:left w:val="nil"/>
              <w:bottom w:val="single" w:color="000000" w:sz="6" w:space="0"/>
              <w:right w:val="single" w:color="000000" w:sz="6" w:space="0"/>
            </w:tcBorders>
            <w:noWrap w:val="0"/>
            <w:vAlign w:val="center"/>
          </w:tcPr>
          <w:p w14:paraId="1C048391">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各系统大体结构特点的观察、组织结构特点的观察。</w:t>
            </w:r>
          </w:p>
        </w:tc>
        <w:tc>
          <w:tcPr>
            <w:tcW w:w="2721" w:type="dxa"/>
            <w:tcBorders>
              <w:top w:val="single" w:color="000000" w:sz="6" w:space="0"/>
              <w:left w:val="nil"/>
              <w:bottom w:val="single" w:color="000000" w:sz="6" w:space="0"/>
              <w:right w:val="single" w:color="auto" w:sz="4" w:space="0"/>
            </w:tcBorders>
            <w:noWrap w:val="0"/>
            <w:vAlign w:val="center"/>
          </w:tcPr>
          <w:p w14:paraId="319165EA">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多点触控解剖台、数字人系统、显微镜、人体各组织切片、各系统及胚胎学的标本、挂图、模型与视频</w:t>
            </w:r>
          </w:p>
        </w:tc>
      </w:tr>
      <w:tr w14:paraId="0CE88F19">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527"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664A85D0">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1417" w:type="dxa"/>
            <w:tcBorders>
              <w:top w:val="single" w:color="000000" w:sz="6" w:space="0"/>
              <w:left w:val="nil"/>
              <w:bottom w:val="single" w:color="000000" w:sz="6" w:space="0"/>
              <w:right w:val="single" w:color="000000" w:sz="6" w:space="0"/>
            </w:tcBorders>
            <w:noWrap w:val="0"/>
            <w:vAlign w:val="center"/>
          </w:tcPr>
          <w:p w14:paraId="60C8CE66">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生理学实验室</w:t>
            </w:r>
          </w:p>
        </w:tc>
        <w:tc>
          <w:tcPr>
            <w:tcW w:w="1559" w:type="dxa"/>
            <w:tcBorders>
              <w:top w:val="single" w:color="000000" w:sz="6" w:space="0"/>
              <w:left w:val="nil"/>
              <w:bottom w:val="single" w:color="000000" w:sz="6" w:space="0"/>
              <w:right w:val="single" w:color="000000" w:sz="6" w:space="0"/>
            </w:tcBorders>
            <w:noWrap w:val="0"/>
            <w:vAlign w:val="center"/>
          </w:tcPr>
          <w:p w14:paraId="63B2C797">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生理学</w:t>
            </w:r>
          </w:p>
        </w:tc>
        <w:tc>
          <w:tcPr>
            <w:tcW w:w="2835" w:type="dxa"/>
            <w:tcBorders>
              <w:top w:val="single" w:color="000000" w:sz="6" w:space="0"/>
              <w:left w:val="nil"/>
              <w:bottom w:val="single" w:color="000000" w:sz="6" w:space="0"/>
              <w:right w:val="single" w:color="000000" w:sz="6" w:space="0"/>
            </w:tcBorders>
            <w:noWrap w:val="0"/>
            <w:vAlign w:val="center"/>
          </w:tcPr>
          <w:p w14:paraId="1B48E7F7">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血型鉴定、血压测量与心音听诊、呼吸功能检查、视觉与听觉功能及腱反射检查</w:t>
            </w:r>
          </w:p>
          <w:p w14:paraId="5C3F23BD">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反射弧与反射时的测定、血液凝固的影响因素、离体蛙心灌流、哺乳动物血压调节、呼吸运动调节、胃肠运动观察、尿生成的影响因素、小脑损伤观察、去大脑僵直等</w:t>
            </w:r>
          </w:p>
        </w:tc>
        <w:tc>
          <w:tcPr>
            <w:tcW w:w="2721" w:type="dxa"/>
            <w:tcBorders>
              <w:top w:val="single" w:color="000000" w:sz="6" w:space="0"/>
              <w:left w:val="nil"/>
              <w:bottom w:val="single" w:color="000000" w:sz="6" w:space="0"/>
              <w:right w:val="single" w:color="auto" w:sz="4" w:space="0"/>
            </w:tcBorders>
            <w:noWrap w:val="0"/>
            <w:vAlign w:val="center"/>
          </w:tcPr>
          <w:p w14:paraId="68923039">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ABO及Rh标准血清、采血设备、血压计、听诊器</w:t>
            </w:r>
          </w:p>
          <w:p w14:paraId="4CE50DBC">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肺通气功能检查设备、视力表、视野计、色盲图、音叉及叩诊锤等</w:t>
            </w:r>
          </w:p>
          <w:p w14:paraId="0F052CA7">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生物机能实验系统</w:t>
            </w:r>
          </w:p>
        </w:tc>
      </w:tr>
      <w:tr w14:paraId="4FD4AB97">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527"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3A0D3583">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417" w:type="dxa"/>
            <w:tcBorders>
              <w:top w:val="single" w:color="000000" w:sz="6" w:space="0"/>
              <w:left w:val="nil"/>
              <w:bottom w:val="single" w:color="000000" w:sz="6" w:space="0"/>
              <w:right w:val="single" w:color="000000" w:sz="6" w:space="0"/>
            </w:tcBorders>
            <w:noWrap w:val="0"/>
            <w:vAlign w:val="center"/>
          </w:tcPr>
          <w:p w14:paraId="0F7E18DD">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病理学与病理生理学实验室</w:t>
            </w:r>
          </w:p>
        </w:tc>
        <w:tc>
          <w:tcPr>
            <w:tcW w:w="1559" w:type="dxa"/>
            <w:tcBorders>
              <w:top w:val="single" w:color="000000" w:sz="6" w:space="0"/>
              <w:left w:val="nil"/>
              <w:bottom w:val="single" w:color="000000" w:sz="6" w:space="0"/>
              <w:right w:val="single" w:color="000000" w:sz="6" w:space="0"/>
            </w:tcBorders>
            <w:noWrap w:val="0"/>
            <w:vAlign w:val="center"/>
          </w:tcPr>
          <w:p w14:paraId="325D5F0E">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病理学与病理生理学</w:t>
            </w:r>
          </w:p>
        </w:tc>
        <w:tc>
          <w:tcPr>
            <w:tcW w:w="2835" w:type="dxa"/>
            <w:tcBorders>
              <w:top w:val="single" w:color="000000" w:sz="6" w:space="0"/>
              <w:left w:val="nil"/>
              <w:bottom w:val="single" w:color="000000" w:sz="6" w:space="0"/>
              <w:right w:val="single" w:color="000000" w:sz="6" w:space="0"/>
            </w:tcBorders>
            <w:noWrap w:val="0"/>
            <w:vAlign w:val="top"/>
          </w:tcPr>
          <w:p w14:paraId="0F6C4B64">
            <w:pPr>
              <w:spacing w:line="3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组织细胞的适应、损伤与修复、局部血液循环障碍、炎症和常见肿瘤、各系统常见疾病及常见传染病的大体标本及组织病理切片观察</w:t>
            </w:r>
          </w:p>
        </w:tc>
        <w:tc>
          <w:tcPr>
            <w:tcW w:w="2721" w:type="dxa"/>
            <w:tcBorders>
              <w:top w:val="single" w:color="000000" w:sz="6" w:space="0"/>
              <w:left w:val="nil"/>
              <w:bottom w:val="single" w:color="000000" w:sz="6" w:space="0"/>
              <w:right w:val="single" w:color="auto" w:sz="4" w:space="0"/>
            </w:tcBorders>
            <w:noWrap w:val="0"/>
            <w:vAlign w:val="top"/>
          </w:tcPr>
          <w:p w14:paraId="77A979BA">
            <w:pPr>
              <w:spacing w:line="3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显微镜，组织细胞的适应、损伤与修复、局部血液循环障碍、炎症和常见肿瘤、各系统常见疾病及常见传染病的大体标本、组织病理切片及挂图</w:t>
            </w:r>
          </w:p>
        </w:tc>
      </w:tr>
      <w:tr w14:paraId="1AA1DCE5">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527"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0BEFA65D">
            <w:pPr>
              <w:spacing w:line="300" w:lineRule="exact"/>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1417" w:type="dxa"/>
            <w:tcBorders>
              <w:top w:val="single" w:color="000000" w:sz="6" w:space="0"/>
              <w:left w:val="nil"/>
              <w:bottom w:val="single" w:color="000000" w:sz="6" w:space="0"/>
              <w:right w:val="single" w:color="000000" w:sz="6" w:space="0"/>
            </w:tcBorders>
            <w:noWrap w:val="0"/>
            <w:vAlign w:val="center"/>
          </w:tcPr>
          <w:p w14:paraId="19DACB64">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病原生物与免疫学实验室</w:t>
            </w:r>
          </w:p>
        </w:tc>
        <w:tc>
          <w:tcPr>
            <w:tcW w:w="1559" w:type="dxa"/>
            <w:tcBorders>
              <w:top w:val="single" w:color="000000" w:sz="6" w:space="0"/>
              <w:left w:val="nil"/>
              <w:bottom w:val="single" w:color="000000" w:sz="6" w:space="0"/>
              <w:right w:val="single" w:color="000000" w:sz="6" w:space="0"/>
            </w:tcBorders>
            <w:noWrap w:val="0"/>
            <w:vAlign w:val="center"/>
          </w:tcPr>
          <w:p w14:paraId="40B9878C">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病原生物与</w:t>
            </w:r>
          </w:p>
          <w:p w14:paraId="080CBD7C">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免疫学</w:t>
            </w:r>
          </w:p>
        </w:tc>
        <w:tc>
          <w:tcPr>
            <w:tcW w:w="2835" w:type="dxa"/>
            <w:tcBorders>
              <w:top w:val="single" w:color="000000" w:sz="6" w:space="0"/>
              <w:left w:val="nil"/>
              <w:bottom w:val="single" w:color="000000" w:sz="6" w:space="0"/>
              <w:right w:val="single" w:color="000000" w:sz="6" w:space="0"/>
            </w:tcBorders>
            <w:noWrap w:val="0"/>
            <w:vAlign w:val="top"/>
          </w:tcPr>
          <w:p w14:paraId="09F27D78">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革兰染色法；细菌的基本形态、特殊结构观察；细菌接种及培养；类风湿因子检测；双向琼脂扩散实验；E</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花环、淋巴细胞转化试验结果观察；寄生虫及虫卵形态学观察等</w:t>
            </w:r>
          </w:p>
        </w:tc>
        <w:tc>
          <w:tcPr>
            <w:tcW w:w="2721" w:type="dxa"/>
            <w:tcBorders>
              <w:top w:val="single" w:color="000000" w:sz="6" w:space="0"/>
              <w:left w:val="nil"/>
              <w:bottom w:val="single" w:color="000000" w:sz="6" w:space="0"/>
              <w:right w:val="single" w:color="auto" w:sz="4" w:space="0"/>
            </w:tcBorders>
            <w:noWrap w:val="0"/>
            <w:vAlign w:val="top"/>
          </w:tcPr>
          <w:p w14:paraId="62A1E950">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显微镜、空气消毒器、恒温培养箱、干燥箱、生物冷藏柜、立式高压锅、生物安全柜、离心机等</w:t>
            </w:r>
          </w:p>
        </w:tc>
      </w:tr>
      <w:tr w14:paraId="3462DB1F">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527"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205256F7">
            <w:pPr>
              <w:spacing w:line="300" w:lineRule="exact"/>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1417" w:type="dxa"/>
            <w:tcBorders>
              <w:top w:val="single" w:color="000000" w:sz="6" w:space="0"/>
              <w:left w:val="nil"/>
              <w:bottom w:val="single" w:color="000000" w:sz="6" w:space="0"/>
              <w:right w:val="single" w:color="000000" w:sz="6" w:space="0"/>
            </w:tcBorders>
            <w:noWrap w:val="0"/>
            <w:vAlign w:val="center"/>
          </w:tcPr>
          <w:p w14:paraId="76ABDD66">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生物化学</w:t>
            </w:r>
          </w:p>
          <w:p w14:paraId="486AC551">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实验室</w:t>
            </w:r>
          </w:p>
        </w:tc>
        <w:tc>
          <w:tcPr>
            <w:tcW w:w="1559" w:type="dxa"/>
            <w:tcBorders>
              <w:top w:val="single" w:color="000000" w:sz="6" w:space="0"/>
              <w:left w:val="nil"/>
              <w:bottom w:val="single" w:color="000000" w:sz="6" w:space="0"/>
              <w:right w:val="single" w:color="000000" w:sz="6" w:space="0"/>
            </w:tcBorders>
            <w:noWrap w:val="0"/>
            <w:vAlign w:val="center"/>
          </w:tcPr>
          <w:p w14:paraId="68323157">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生物化学</w:t>
            </w:r>
          </w:p>
        </w:tc>
        <w:tc>
          <w:tcPr>
            <w:tcW w:w="2835" w:type="dxa"/>
            <w:tcBorders>
              <w:top w:val="single" w:color="000000" w:sz="6" w:space="0"/>
              <w:left w:val="nil"/>
              <w:bottom w:val="single" w:color="000000" w:sz="6" w:space="0"/>
              <w:right w:val="single" w:color="000000" w:sz="6" w:space="0"/>
            </w:tcBorders>
            <w:noWrap w:val="0"/>
            <w:vAlign w:val="center"/>
          </w:tcPr>
          <w:p w14:paraId="5C888681">
            <w:pPr>
              <w:spacing w:line="300" w:lineRule="exact"/>
              <w:rPr>
                <w:rFonts w:hint="default" w:ascii="Times New Roman" w:hAnsi="Times New Roman" w:eastAsia="仿宋_GB2312" w:cs="Times New Roman"/>
                <w:spacing w:val="-3"/>
                <w:szCs w:val="21"/>
              </w:rPr>
            </w:pPr>
            <w:r>
              <w:rPr>
                <w:rFonts w:hint="default" w:ascii="Times New Roman" w:hAnsi="Times New Roman" w:eastAsia="仿宋_GB2312" w:cs="Times New Roman"/>
                <w:spacing w:val="-3"/>
                <w:szCs w:val="21"/>
              </w:rPr>
              <w:t>蛋白质的理化性质；酶的专一性；影响酶促反应速度的因素；维生素的测定；糖类的还原作用；动物肝脏DNA的提取等</w:t>
            </w:r>
          </w:p>
        </w:tc>
        <w:tc>
          <w:tcPr>
            <w:tcW w:w="2721" w:type="dxa"/>
            <w:tcBorders>
              <w:top w:val="single" w:color="000000" w:sz="6" w:space="0"/>
              <w:left w:val="nil"/>
              <w:bottom w:val="single" w:color="000000" w:sz="6" w:space="0"/>
              <w:right w:val="single" w:color="auto" w:sz="4" w:space="0"/>
            </w:tcBorders>
            <w:noWrap w:val="0"/>
            <w:vAlign w:val="top"/>
          </w:tcPr>
          <w:p w14:paraId="4AF1137E">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紫外-可见分光光度计、半自动生化分析仪、电泳仪及电泳槽、恒温水浴箱、干燥箱、离心机、电子天平、旋光仪、冰箱等</w:t>
            </w:r>
          </w:p>
        </w:tc>
      </w:tr>
      <w:tr w14:paraId="4756C88C">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689"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73F0E4A2">
            <w:pPr>
              <w:spacing w:line="300" w:lineRule="exact"/>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1417" w:type="dxa"/>
            <w:tcBorders>
              <w:top w:val="single" w:color="000000" w:sz="6" w:space="0"/>
              <w:left w:val="nil"/>
              <w:bottom w:val="single" w:color="000000" w:sz="6" w:space="0"/>
              <w:right w:val="single" w:color="000000" w:sz="6" w:space="0"/>
            </w:tcBorders>
            <w:noWrap w:val="0"/>
            <w:vAlign w:val="center"/>
          </w:tcPr>
          <w:p w14:paraId="7111DF5D">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模型制作室</w:t>
            </w:r>
          </w:p>
        </w:tc>
        <w:tc>
          <w:tcPr>
            <w:tcW w:w="1559" w:type="dxa"/>
            <w:tcBorders>
              <w:top w:val="single" w:color="000000" w:sz="6" w:space="0"/>
              <w:left w:val="nil"/>
              <w:bottom w:val="single" w:color="000000" w:sz="6" w:space="0"/>
              <w:right w:val="single" w:color="000000" w:sz="6" w:space="0"/>
            </w:tcBorders>
            <w:noWrap w:val="0"/>
            <w:vAlign w:val="center"/>
          </w:tcPr>
          <w:p w14:paraId="1EC6CC0E">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p w14:paraId="604D5620">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口腔正畸学</w:t>
            </w:r>
          </w:p>
        </w:tc>
        <w:tc>
          <w:tcPr>
            <w:tcW w:w="2835" w:type="dxa"/>
            <w:tcBorders>
              <w:top w:val="single" w:color="000000" w:sz="6" w:space="0"/>
              <w:left w:val="nil"/>
              <w:bottom w:val="single" w:color="000000" w:sz="6" w:space="0"/>
              <w:right w:val="single" w:color="000000" w:sz="6" w:space="0"/>
            </w:tcBorders>
            <w:noWrap w:val="0"/>
            <w:vAlign w:val="center"/>
          </w:tcPr>
          <w:p w14:paraId="1C9C3508">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模型灌注；模型修整；上牙合架；装盒；充胶热处理；琼脂复模</w:t>
            </w:r>
          </w:p>
        </w:tc>
        <w:tc>
          <w:tcPr>
            <w:tcW w:w="2721" w:type="dxa"/>
            <w:tcBorders>
              <w:top w:val="single" w:color="000000" w:sz="6" w:space="0"/>
              <w:left w:val="nil"/>
              <w:bottom w:val="single" w:color="000000" w:sz="6" w:space="0"/>
              <w:right w:val="single" w:color="auto" w:sz="4" w:space="0"/>
            </w:tcBorders>
            <w:noWrap w:val="0"/>
            <w:vAlign w:val="center"/>
          </w:tcPr>
          <w:p w14:paraId="27FB9BDA">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石膏过滤池、模型修整机、舌侧修整机、</w:t>
            </w:r>
          </w:p>
          <w:p w14:paraId="6DC4483F">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激光打孔机、型盒压榨机、电炉子、型盒容纳器、真空搅拌机、</w:t>
            </w:r>
          </w:p>
          <w:p w14:paraId="37C03C12">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模型振荡器、植钉机、</w:t>
            </w:r>
          </w:p>
          <w:p w14:paraId="5A549A9C">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模型分割锯、微型打磨机、压榨器、水浴加热装置</w:t>
            </w:r>
          </w:p>
        </w:tc>
      </w:tr>
      <w:tr w14:paraId="2D086F50">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7FEAB379">
            <w:pPr>
              <w:spacing w:line="300" w:lineRule="exact"/>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1417" w:type="dxa"/>
            <w:tcBorders>
              <w:top w:val="single" w:color="000000" w:sz="6" w:space="0"/>
              <w:left w:val="nil"/>
              <w:bottom w:val="single" w:color="000000" w:sz="6" w:space="0"/>
              <w:right w:val="single" w:color="000000" w:sz="6" w:space="0"/>
            </w:tcBorders>
            <w:noWrap w:val="0"/>
            <w:vAlign w:val="center"/>
          </w:tcPr>
          <w:p w14:paraId="3E4162BD">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标准化技工室</w:t>
            </w:r>
          </w:p>
        </w:tc>
        <w:tc>
          <w:tcPr>
            <w:tcW w:w="1559" w:type="dxa"/>
            <w:tcBorders>
              <w:top w:val="single" w:color="000000" w:sz="6" w:space="0"/>
              <w:left w:val="nil"/>
              <w:bottom w:val="single" w:color="000000" w:sz="6" w:space="0"/>
              <w:right w:val="single" w:color="000000" w:sz="6" w:space="0"/>
            </w:tcBorders>
            <w:noWrap w:val="0"/>
            <w:vAlign w:val="center"/>
          </w:tcPr>
          <w:p w14:paraId="3906A575">
            <w:pPr>
              <w:spacing w:line="300" w:lineRule="exact"/>
              <w:jc w:val="center"/>
              <w:rPr>
                <w:rFonts w:hint="default" w:ascii="Times New Roman" w:hAnsi="Times New Roman" w:eastAsia="仿宋_GB2312" w:cs="Times New Roman"/>
                <w:spacing w:val="-3"/>
                <w:szCs w:val="21"/>
              </w:rPr>
            </w:pPr>
            <w:r>
              <w:rPr>
                <w:rFonts w:hint="default" w:ascii="Times New Roman" w:hAnsi="Times New Roman" w:eastAsia="仿宋_GB2312" w:cs="Times New Roman"/>
                <w:spacing w:val="-3"/>
                <w:szCs w:val="21"/>
              </w:rPr>
              <w:t>口腔解剖生理学</w:t>
            </w:r>
          </w:p>
          <w:p w14:paraId="74EA0AC1">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口腔材料学</w:t>
            </w:r>
          </w:p>
          <w:p w14:paraId="2E6D86C5">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p w14:paraId="0B6A242F">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口腔正畸学</w:t>
            </w:r>
          </w:p>
          <w:p w14:paraId="09AABD67">
            <w:pPr>
              <w:spacing w:line="300" w:lineRule="exact"/>
              <w:jc w:val="center"/>
              <w:rPr>
                <w:rFonts w:hint="default" w:ascii="Times New Roman" w:hAnsi="Times New Roman" w:eastAsia="仿宋_GB2312" w:cs="Times New Roman"/>
                <w:szCs w:val="21"/>
              </w:rPr>
            </w:pPr>
          </w:p>
        </w:tc>
        <w:tc>
          <w:tcPr>
            <w:tcW w:w="2835" w:type="dxa"/>
            <w:tcBorders>
              <w:top w:val="single" w:color="000000" w:sz="6" w:space="0"/>
              <w:left w:val="nil"/>
              <w:bottom w:val="single" w:color="000000" w:sz="6" w:space="0"/>
              <w:right w:val="single" w:color="000000" w:sz="6" w:space="0"/>
            </w:tcBorders>
            <w:noWrap w:val="0"/>
            <w:vAlign w:val="center"/>
          </w:tcPr>
          <w:p w14:paraId="0E9D9C13">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石膏牙雕刻、蜡牙雕刻；树脂材料使用；嵌体、冠、核桩熔模的制作；临时冠桥制作；模型设计；锻丝卡环制作；人工牙排列；可摘局部义齿蜡型制作；蜡颌堤制作；全口义齿蜡型制作；活动矫治器制作</w:t>
            </w:r>
          </w:p>
        </w:tc>
        <w:tc>
          <w:tcPr>
            <w:tcW w:w="2721" w:type="dxa"/>
            <w:tcBorders>
              <w:top w:val="single" w:color="000000" w:sz="6" w:space="0"/>
              <w:left w:val="nil"/>
              <w:bottom w:val="single" w:color="000000" w:sz="6" w:space="0"/>
              <w:right w:val="single" w:color="auto" w:sz="4" w:space="0"/>
            </w:tcBorders>
            <w:noWrap w:val="0"/>
            <w:vAlign w:val="center"/>
          </w:tcPr>
          <w:p w14:paraId="561ED475">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标准化技工操作台、台式打磨机、牙体雕刻评价系统、多媒体示教系统、3倍大石膏牙雕刻序列模型</w:t>
            </w:r>
          </w:p>
        </w:tc>
      </w:tr>
      <w:tr w14:paraId="384E80C0">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21D6C2D2">
            <w:pPr>
              <w:spacing w:line="300" w:lineRule="exact"/>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1417" w:type="dxa"/>
            <w:tcBorders>
              <w:top w:val="single" w:color="000000" w:sz="6" w:space="0"/>
              <w:left w:val="nil"/>
              <w:bottom w:val="single" w:color="000000" w:sz="6" w:space="0"/>
              <w:right w:val="single" w:color="000000" w:sz="6" w:space="0"/>
            </w:tcBorders>
            <w:noWrap w:val="0"/>
            <w:vAlign w:val="center"/>
          </w:tcPr>
          <w:p w14:paraId="389E09FF">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仿头模实训室</w:t>
            </w:r>
          </w:p>
        </w:tc>
        <w:tc>
          <w:tcPr>
            <w:tcW w:w="1559" w:type="dxa"/>
            <w:tcBorders>
              <w:top w:val="single" w:color="000000" w:sz="6" w:space="0"/>
              <w:left w:val="nil"/>
              <w:bottom w:val="single" w:color="000000" w:sz="6" w:space="0"/>
              <w:right w:val="single" w:color="000000" w:sz="6" w:space="0"/>
            </w:tcBorders>
            <w:noWrap w:val="0"/>
            <w:vAlign w:val="center"/>
          </w:tcPr>
          <w:p w14:paraId="03533AB2">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p w14:paraId="1E7A88CE">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口腔内科学</w:t>
            </w:r>
          </w:p>
          <w:p w14:paraId="3A8650A2">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pacing w:val="-3"/>
                <w:szCs w:val="21"/>
              </w:rPr>
              <w:t>口腔颌面外科学口腔临床基本操作</w:t>
            </w:r>
          </w:p>
        </w:tc>
        <w:tc>
          <w:tcPr>
            <w:tcW w:w="2835" w:type="dxa"/>
            <w:tcBorders>
              <w:top w:val="single" w:color="000000" w:sz="6" w:space="0"/>
              <w:left w:val="nil"/>
              <w:bottom w:val="single" w:color="000000" w:sz="6" w:space="0"/>
              <w:right w:val="single" w:color="000000" w:sz="6" w:space="0"/>
            </w:tcBorders>
            <w:noWrap w:val="0"/>
            <w:vAlign w:val="center"/>
          </w:tcPr>
          <w:p w14:paraId="1943D179">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口腔印模制取；嵌体牙体制备；PFM冠制备；简单桩冠制作；临时冠桥制作；隙卡沟；牙合支托制备；窝洞制备；牙拔除术；松牙固定术；四手操作技术</w:t>
            </w:r>
          </w:p>
        </w:tc>
        <w:tc>
          <w:tcPr>
            <w:tcW w:w="2721" w:type="dxa"/>
            <w:tcBorders>
              <w:top w:val="single" w:color="000000" w:sz="6" w:space="0"/>
              <w:left w:val="nil"/>
              <w:bottom w:val="single" w:color="000000" w:sz="6" w:space="0"/>
              <w:right w:val="single" w:color="auto" w:sz="4" w:space="0"/>
            </w:tcBorders>
            <w:noWrap w:val="0"/>
            <w:vAlign w:val="center"/>
          </w:tcPr>
          <w:p w14:paraId="08FA91AC">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仿头模、高速手机、</w:t>
            </w:r>
          </w:p>
          <w:p w14:paraId="6A7C9A5D">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低速手机、标准模型、</w:t>
            </w:r>
          </w:p>
          <w:p w14:paraId="22287B71">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拔牙模型、医师资格考试专用脓肿切开模型、医师资格考试专用牙体预备模型、医师资格考试专用拔牙模型</w:t>
            </w:r>
          </w:p>
        </w:tc>
      </w:tr>
      <w:tr w14:paraId="5D0CCB11">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70E1CE6E">
            <w:pPr>
              <w:spacing w:line="300" w:lineRule="exact"/>
              <w:ind w:firstLine="105" w:firstLineChar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tc>
        <w:tc>
          <w:tcPr>
            <w:tcW w:w="1417" w:type="dxa"/>
            <w:tcBorders>
              <w:top w:val="single" w:color="000000" w:sz="6" w:space="0"/>
              <w:left w:val="nil"/>
              <w:bottom w:val="single" w:color="000000" w:sz="6" w:space="0"/>
              <w:right w:val="single" w:color="000000" w:sz="6" w:space="0"/>
            </w:tcBorders>
            <w:noWrap w:val="0"/>
            <w:vAlign w:val="center"/>
          </w:tcPr>
          <w:p w14:paraId="798F4BAE">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金属铸造室</w:t>
            </w:r>
          </w:p>
        </w:tc>
        <w:tc>
          <w:tcPr>
            <w:tcW w:w="1559" w:type="dxa"/>
            <w:tcBorders>
              <w:top w:val="single" w:color="000000" w:sz="6" w:space="0"/>
              <w:left w:val="nil"/>
              <w:bottom w:val="single" w:color="000000" w:sz="6" w:space="0"/>
              <w:right w:val="single" w:color="000000" w:sz="6" w:space="0"/>
            </w:tcBorders>
            <w:noWrap w:val="0"/>
            <w:vAlign w:val="center"/>
          </w:tcPr>
          <w:p w14:paraId="09ADF2E6">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tc>
        <w:tc>
          <w:tcPr>
            <w:tcW w:w="2835" w:type="dxa"/>
            <w:tcBorders>
              <w:top w:val="single" w:color="000000" w:sz="6" w:space="0"/>
              <w:left w:val="nil"/>
              <w:bottom w:val="single" w:color="000000" w:sz="6" w:space="0"/>
              <w:right w:val="single" w:color="000000" w:sz="6" w:space="0"/>
            </w:tcBorders>
            <w:noWrap w:val="0"/>
            <w:vAlign w:val="center"/>
          </w:tcPr>
          <w:p w14:paraId="21D251E5">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金属铸造冠制作；铸造桩核制作；牙合支托制作；可摘局部大支架制作；上颌腭板制作</w:t>
            </w:r>
          </w:p>
        </w:tc>
        <w:tc>
          <w:tcPr>
            <w:tcW w:w="2721" w:type="dxa"/>
            <w:tcBorders>
              <w:top w:val="single" w:color="000000" w:sz="6" w:space="0"/>
              <w:left w:val="nil"/>
              <w:bottom w:val="single" w:color="000000" w:sz="6" w:space="0"/>
              <w:right w:val="single" w:color="auto" w:sz="4" w:space="0"/>
            </w:tcBorders>
            <w:noWrap w:val="0"/>
            <w:vAlign w:val="center"/>
          </w:tcPr>
          <w:p w14:paraId="1BFE4DC2">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高频离心铸造机、茂福炉、铸圈及成型座、</w:t>
            </w:r>
          </w:p>
          <w:p w14:paraId="1CAE32C4">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振荡器、金属切割机、</w:t>
            </w:r>
          </w:p>
          <w:p w14:paraId="1A8911E5">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喷砂打磨机</w:t>
            </w:r>
          </w:p>
        </w:tc>
      </w:tr>
      <w:tr w14:paraId="4F8F65EF">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5DCD85F0">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1417" w:type="dxa"/>
            <w:tcBorders>
              <w:top w:val="single" w:color="000000" w:sz="6" w:space="0"/>
              <w:left w:val="nil"/>
              <w:bottom w:val="single" w:color="000000" w:sz="6" w:space="0"/>
              <w:right w:val="single" w:color="000000" w:sz="6" w:space="0"/>
            </w:tcBorders>
            <w:noWrap w:val="0"/>
            <w:vAlign w:val="center"/>
          </w:tcPr>
          <w:p w14:paraId="2E10C60E">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烤瓷铸造室</w:t>
            </w:r>
          </w:p>
        </w:tc>
        <w:tc>
          <w:tcPr>
            <w:tcW w:w="1559" w:type="dxa"/>
            <w:tcBorders>
              <w:top w:val="single" w:color="000000" w:sz="6" w:space="0"/>
              <w:left w:val="nil"/>
              <w:bottom w:val="single" w:color="000000" w:sz="6" w:space="0"/>
              <w:right w:val="single" w:color="000000" w:sz="6" w:space="0"/>
            </w:tcBorders>
            <w:noWrap w:val="0"/>
            <w:vAlign w:val="center"/>
          </w:tcPr>
          <w:p w14:paraId="383A99DC">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tc>
        <w:tc>
          <w:tcPr>
            <w:tcW w:w="2835" w:type="dxa"/>
            <w:tcBorders>
              <w:top w:val="single" w:color="000000" w:sz="6" w:space="0"/>
              <w:left w:val="nil"/>
              <w:bottom w:val="single" w:color="000000" w:sz="6" w:space="0"/>
              <w:right w:val="single" w:color="000000" w:sz="6" w:space="0"/>
            </w:tcBorders>
            <w:noWrap w:val="0"/>
            <w:vAlign w:val="center"/>
          </w:tcPr>
          <w:p w14:paraId="74BB3635">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PFM单冠制作；双端固定桥制作</w:t>
            </w:r>
          </w:p>
        </w:tc>
        <w:tc>
          <w:tcPr>
            <w:tcW w:w="2721" w:type="dxa"/>
            <w:tcBorders>
              <w:top w:val="single" w:color="000000" w:sz="6" w:space="0"/>
              <w:left w:val="nil"/>
              <w:bottom w:val="single" w:color="000000" w:sz="6" w:space="0"/>
              <w:right w:val="single" w:color="auto" w:sz="4" w:space="0"/>
            </w:tcBorders>
            <w:noWrap w:val="0"/>
            <w:vAlign w:val="center"/>
          </w:tcPr>
          <w:p w14:paraId="6835037A">
            <w:pPr>
              <w:spacing w:line="300" w:lineRule="exact"/>
              <w:ind w:left="-50" w:right="-50"/>
              <w:jc w:val="left"/>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瓷粉调拌盒、</w:t>
            </w:r>
            <w:r>
              <w:rPr>
                <w:rFonts w:hint="default" w:ascii="Times New Roman" w:hAnsi="Times New Roman" w:eastAsia="仿宋_GB2312" w:cs="Times New Roman"/>
                <w:szCs w:val="21"/>
              </w:rPr>
              <w:t>筑瓷工具套装、比色板、烤瓷烧结炉、台式打磨机</w:t>
            </w:r>
          </w:p>
        </w:tc>
      </w:tr>
      <w:tr w14:paraId="70345983">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190596D5">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w:t>
            </w:r>
          </w:p>
        </w:tc>
        <w:tc>
          <w:tcPr>
            <w:tcW w:w="1417" w:type="dxa"/>
            <w:tcBorders>
              <w:top w:val="single" w:color="000000" w:sz="6" w:space="0"/>
              <w:left w:val="nil"/>
              <w:bottom w:val="single" w:color="000000" w:sz="6" w:space="0"/>
              <w:right w:val="single" w:color="000000" w:sz="6" w:space="0"/>
            </w:tcBorders>
            <w:noWrap w:val="0"/>
            <w:vAlign w:val="center"/>
          </w:tcPr>
          <w:p w14:paraId="6D9BA84F">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CAD/CAM实训室</w:t>
            </w:r>
          </w:p>
        </w:tc>
        <w:tc>
          <w:tcPr>
            <w:tcW w:w="1559" w:type="dxa"/>
            <w:tcBorders>
              <w:top w:val="single" w:color="000000" w:sz="6" w:space="0"/>
              <w:left w:val="nil"/>
              <w:bottom w:val="single" w:color="000000" w:sz="6" w:space="0"/>
              <w:right w:val="single" w:color="000000" w:sz="6" w:space="0"/>
            </w:tcBorders>
            <w:noWrap w:val="0"/>
            <w:vAlign w:val="center"/>
          </w:tcPr>
          <w:p w14:paraId="7B6D95EC">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tc>
        <w:tc>
          <w:tcPr>
            <w:tcW w:w="2835" w:type="dxa"/>
            <w:tcBorders>
              <w:top w:val="single" w:color="000000" w:sz="6" w:space="0"/>
              <w:left w:val="nil"/>
              <w:bottom w:val="single" w:color="000000" w:sz="6" w:space="0"/>
              <w:right w:val="single" w:color="000000" w:sz="6" w:space="0"/>
            </w:tcBorders>
            <w:noWrap w:val="0"/>
            <w:vAlign w:val="center"/>
          </w:tcPr>
          <w:p w14:paraId="00EC88A5">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CAD单冠设计；CAD固定桥设计；CAM单冠制作</w:t>
            </w:r>
          </w:p>
        </w:tc>
        <w:tc>
          <w:tcPr>
            <w:tcW w:w="2721" w:type="dxa"/>
            <w:tcBorders>
              <w:top w:val="single" w:color="000000" w:sz="6" w:space="0"/>
              <w:left w:val="nil"/>
              <w:bottom w:val="single" w:color="000000" w:sz="6" w:space="0"/>
              <w:right w:val="single" w:color="auto" w:sz="4" w:space="0"/>
            </w:tcBorders>
            <w:noWrap w:val="0"/>
            <w:vAlign w:val="center"/>
          </w:tcPr>
          <w:p w14:paraId="5B397DC4">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CAD/CAM系统；台式口内扫描仪；研磨仪；</w:t>
            </w:r>
          </w:p>
          <w:p w14:paraId="1DBD753A">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CAD/CAM-烧结炉</w:t>
            </w:r>
          </w:p>
        </w:tc>
      </w:tr>
      <w:tr w14:paraId="51FD87DA">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239D416A">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c>
          <w:tcPr>
            <w:tcW w:w="1417" w:type="dxa"/>
            <w:tcBorders>
              <w:top w:val="single" w:color="000000" w:sz="6" w:space="0"/>
              <w:left w:val="nil"/>
              <w:bottom w:val="single" w:color="000000" w:sz="6" w:space="0"/>
              <w:right w:val="single" w:color="000000" w:sz="6" w:space="0"/>
            </w:tcBorders>
            <w:noWrap w:val="0"/>
            <w:vAlign w:val="center"/>
          </w:tcPr>
          <w:p w14:paraId="0B9926C4">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临床综合</w:t>
            </w:r>
          </w:p>
          <w:p w14:paraId="34C60911">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实训室</w:t>
            </w:r>
          </w:p>
        </w:tc>
        <w:tc>
          <w:tcPr>
            <w:tcW w:w="1559" w:type="dxa"/>
            <w:tcBorders>
              <w:top w:val="single" w:color="000000" w:sz="6" w:space="0"/>
              <w:left w:val="nil"/>
              <w:bottom w:val="single" w:color="000000" w:sz="6" w:space="0"/>
              <w:right w:val="single" w:color="000000" w:sz="6" w:space="0"/>
            </w:tcBorders>
            <w:noWrap w:val="0"/>
            <w:vAlign w:val="center"/>
          </w:tcPr>
          <w:p w14:paraId="6A176A9A">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p w14:paraId="10D0F14D">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口腔内科学</w:t>
            </w:r>
          </w:p>
          <w:p w14:paraId="63D5F3FA">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口腔颌面外科学</w:t>
            </w:r>
          </w:p>
          <w:p w14:paraId="4430E054">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口腔预防保健</w:t>
            </w:r>
          </w:p>
          <w:p w14:paraId="6D19D061">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口腔医学美学</w:t>
            </w:r>
          </w:p>
          <w:p w14:paraId="68B20083">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口腔正畸学</w:t>
            </w:r>
          </w:p>
          <w:p w14:paraId="69CE9F41">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口腔临床基本操作</w:t>
            </w:r>
          </w:p>
        </w:tc>
        <w:tc>
          <w:tcPr>
            <w:tcW w:w="2835" w:type="dxa"/>
            <w:tcBorders>
              <w:top w:val="single" w:color="000000" w:sz="6" w:space="0"/>
              <w:left w:val="nil"/>
              <w:bottom w:val="single" w:color="000000" w:sz="6" w:space="0"/>
              <w:right w:val="single" w:color="000000" w:sz="6" w:space="0"/>
            </w:tcBorders>
            <w:noWrap w:val="0"/>
            <w:vAlign w:val="center"/>
          </w:tcPr>
          <w:p w14:paraId="53DAB83F">
            <w:pPr>
              <w:spacing w:line="300" w:lineRule="exact"/>
              <w:ind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口腔检查及病例书写；口腔印模制取；窝洞制备；龋病充填；牙髓病活力测试；热牙胶充填技术；松牙固定术；洁治术；口腔颌面外科检查及病例书写；局部浸润麻醉；局部阻滞麻醉；清创缝合术；颌面部十字绷带包扎、单眼包扎；口腔黏膜脓肿切开引流术；拔牙术；刷牙；牙线；社区牙周指数；口腔卫生宣教；口腔正畸检查及</w:t>
            </w:r>
            <w:r>
              <w:rPr>
                <w:rFonts w:hint="eastAsia" w:ascii="Times New Roman" w:hAnsi="Times New Roman" w:eastAsia="仿宋_GB2312" w:cs="Times New Roman"/>
                <w:szCs w:val="21"/>
                <w:lang w:eastAsia="zh-CN"/>
              </w:rPr>
              <w:t>病历</w:t>
            </w:r>
            <w:r>
              <w:rPr>
                <w:rFonts w:hint="default" w:ascii="Times New Roman" w:hAnsi="Times New Roman" w:eastAsia="仿宋_GB2312" w:cs="Times New Roman"/>
                <w:szCs w:val="21"/>
              </w:rPr>
              <w:t>书写；正畸印模制取；四手操作技术</w:t>
            </w:r>
          </w:p>
        </w:tc>
        <w:tc>
          <w:tcPr>
            <w:tcW w:w="2721" w:type="dxa"/>
            <w:tcBorders>
              <w:top w:val="single" w:color="000000" w:sz="6" w:space="0"/>
              <w:left w:val="nil"/>
              <w:bottom w:val="single" w:color="000000" w:sz="6" w:space="0"/>
              <w:right w:val="single" w:color="auto" w:sz="4" w:space="0"/>
            </w:tcBorders>
            <w:noWrap w:val="0"/>
            <w:vAlign w:val="center"/>
          </w:tcPr>
          <w:p w14:paraId="610BD370">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综合治疗台、虚拟仿真牙科治疗系统、高速手机、低速手机、根管测量仪、根管显微镜、根管治疗仪、热牙胶充填系统、牙髓活力检测仪、超声波洁牙机、根管治疗马达、超声根管治疗仪、便携式光固化机、橡皮障套装、修复治疗器械、拔牙器械、</w:t>
            </w:r>
          </w:p>
          <w:p w14:paraId="195A1662">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口腔颌面外科手术器械、阻滞麻醉模拟训练模型、银汞胶囊调拌机、牙科放大镜  2.5X、牙科空气压缩机、负压抽吸机、封口机、计算机控制口腔局部麻醉仪、色度计比色仪、分段式成型片系统</w:t>
            </w:r>
          </w:p>
          <w:p w14:paraId="7519BA16">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灭菌器、超声波</w:t>
            </w:r>
            <w:r>
              <w:rPr>
                <w:rFonts w:hint="eastAsia" w:ascii="Times New Roman" w:hAnsi="Times New Roman" w:eastAsia="仿宋_GB2312" w:cs="Times New Roman"/>
                <w:szCs w:val="21"/>
                <w:lang w:eastAsia="zh-CN"/>
              </w:rPr>
              <w:t>振荡</w:t>
            </w:r>
            <w:r>
              <w:rPr>
                <w:rFonts w:hint="default" w:ascii="Times New Roman" w:hAnsi="Times New Roman" w:eastAsia="仿宋_GB2312" w:cs="Times New Roman"/>
                <w:szCs w:val="21"/>
              </w:rPr>
              <w:t>清洗机</w:t>
            </w:r>
          </w:p>
        </w:tc>
      </w:tr>
      <w:tr w14:paraId="52219C39">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61ACCAEB">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1417" w:type="dxa"/>
            <w:tcBorders>
              <w:top w:val="single" w:color="000000" w:sz="6" w:space="0"/>
              <w:left w:val="nil"/>
              <w:bottom w:val="single" w:color="000000" w:sz="6" w:space="0"/>
              <w:right w:val="single" w:color="000000" w:sz="6" w:space="0"/>
            </w:tcBorders>
            <w:noWrap w:val="0"/>
            <w:vAlign w:val="center"/>
          </w:tcPr>
          <w:p w14:paraId="6A2841E9">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口腔影像诊断实训室</w:t>
            </w:r>
          </w:p>
        </w:tc>
        <w:tc>
          <w:tcPr>
            <w:tcW w:w="1559" w:type="dxa"/>
            <w:tcBorders>
              <w:top w:val="single" w:color="000000" w:sz="6" w:space="0"/>
              <w:left w:val="nil"/>
              <w:bottom w:val="single" w:color="000000" w:sz="6" w:space="0"/>
              <w:right w:val="single" w:color="000000" w:sz="6" w:space="0"/>
            </w:tcBorders>
            <w:noWrap w:val="0"/>
            <w:vAlign w:val="center"/>
          </w:tcPr>
          <w:p w14:paraId="6C881904">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口腔外科学</w:t>
            </w:r>
          </w:p>
          <w:p w14:paraId="7DF679FF">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口腔内科学</w:t>
            </w:r>
          </w:p>
          <w:p w14:paraId="119EAA6C">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口腔颌面医学影像诊断学</w:t>
            </w:r>
          </w:p>
        </w:tc>
        <w:tc>
          <w:tcPr>
            <w:tcW w:w="2835" w:type="dxa"/>
            <w:tcBorders>
              <w:top w:val="single" w:color="000000" w:sz="6" w:space="0"/>
              <w:left w:val="nil"/>
              <w:bottom w:val="single" w:color="000000" w:sz="6" w:space="0"/>
              <w:right w:val="single" w:color="000000" w:sz="6" w:space="0"/>
            </w:tcBorders>
            <w:noWrap w:val="0"/>
            <w:vAlign w:val="center"/>
          </w:tcPr>
          <w:p w14:paraId="3BABD798">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牙齿、牙周组织正常及病变X线影像；颌骨损伤X线影像；颞下颌关节疾病X线影像</w:t>
            </w:r>
          </w:p>
        </w:tc>
        <w:tc>
          <w:tcPr>
            <w:tcW w:w="2721" w:type="dxa"/>
            <w:tcBorders>
              <w:top w:val="single" w:color="000000" w:sz="6" w:space="0"/>
              <w:left w:val="nil"/>
              <w:bottom w:val="single" w:color="000000" w:sz="6" w:space="0"/>
              <w:right w:val="single" w:color="auto" w:sz="4" w:space="0"/>
            </w:tcBorders>
            <w:noWrap w:val="0"/>
            <w:vAlign w:val="center"/>
          </w:tcPr>
          <w:p w14:paraId="6D3F414C">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数字化曲面断层机；</w:t>
            </w:r>
          </w:p>
          <w:p w14:paraId="174F3F64">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口腔X射线计算机体层摄影系统（CBCT）</w:t>
            </w:r>
          </w:p>
        </w:tc>
      </w:tr>
      <w:tr w14:paraId="2562112D">
        <w:tblPrEx>
          <w:tblBorders>
            <w:top w:val="single" w:color="BBBBBB" w:sz="6" w:space="0"/>
            <w:left w:val="single" w:color="BBBBBB" w:sz="6" w:space="0"/>
            <w:bottom w:val="single" w:color="BBBBBB" w:sz="6" w:space="0"/>
            <w:right w:val="single" w:color="BBBBBB" w:sz="6" w:space="0"/>
            <w:insideH w:val="none" w:color="auto" w:sz="0" w:space="0"/>
            <w:insideV w:val="none" w:color="auto" w:sz="0" w:space="0"/>
          </w:tblBorders>
          <w:tblCellMar>
            <w:top w:w="0" w:type="dxa"/>
            <w:left w:w="57" w:type="dxa"/>
            <w:bottom w:w="0" w:type="dxa"/>
            <w:right w:w="57" w:type="dxa"/>
          </w:tblCellMar>
        </w:tblPrEx>
        <w:trPr>
          <w:trHeight w:val="768" w:hRule="atLeast"/>
          <w:jc w:val="center"/>
        </w:trPr>
        <w:tc>
          <w:tcPr>
            <w:tcW w:w="540" w:type="dxa"/>
            <w:tcBorders>
              <w:top w:val="single" w:color="000000" w:sz="6" w:space="0"/>
              <w:left w:val="single" w:color="000000" w:sz="6" w:space="0"/>
              <w:bottom w:val="single" w:color="000000" w:sz="6" w:space="0"/>
              <w:right w:val="single" w:color="000000" w:sz="6" w:space="0"/>
            </w:tcBorders>
            <w:noWrap w:val="0"/>
            <w:vAlign w:val="center"/>
          </w:tcPr>
          <w:p w14:paraId="0D7B2622">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w:t>
            </w:r>
          </w:p>
        </w:tc>
        <w:tc>
          <w:tcPr>
            <w:tcW w:w="1417" w:type="dxa"/>
            <w:tcBorders>
              <w:top w:val="single" w:color="000000" w:sz="6" w:space="0"/>
              <w:left w:val="nil"/>
              <w:bottom w:val="single" w:color="000000" w:sz="6" w:space="0"/>
              <w:right w:val="single" w:color="000000" w:sz="6" w:space="0"/>
            </w:tcBorders>
            <w:noWrap w:val="0"/>
            <w:vAlign w:val="center"/>
          </w:tcPr>
          <w:p w14:paraId="01706C3F">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口腔综合</w:t>
            </w:r>
          </w:p>
          <w:p w14:paraId="4C084FCE">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门诊部</w:t>
            </w:r>
          </w:p>
        </w:tc>
        <w:tc>
          <w:tcPr>
            <w:tcW w:w="1559" w:type="dxa"/>
            <w:tcBorders>
              <w:top w:val="single" w:color="000000" w:sz="6" w:space="0"/>
              <w:left w:val="nil"/>
              <w:bottom w:val="single" w:color="000000" w:sz="6" w:space="0"/>
              <w:right w:val="single" w:color="000000" w:sz="6" w:space="0"/>
            </w:tcBorders>
            <w:noWrap w:val="0"/>
            <w:vAlign w:val="center"/>
          </w:tcPr>
          <w:p w14:paraId="3FC340DE">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口腔内科学</w:t>
            </w:r>
          </w:p>
          <w:p w14:paraId="600F57B6">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口腔外科学</w:t>
            </w:r>
          </w:p>
          <w:p w14:paraId="61942C3B">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口腔正畸学</w:t>
            </w:r>
          </w:p>
          <w:p w14:paraId="319E8272">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口腔预防医学</w:t>
            </w:r>
          </w:p>
          <w:p w14:paraId="25455581">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口腔修复学</w:t>
            </w:r>
          </w:p>
          <w:p w14:paraId="34189A3C">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口腔临床基本操作</w:t>
            </w:r>
          </w:p>
        </w:tc>
        <w:tc>
          <w:tcPr>
            <w:tcW w:w="2835" w:type="dxa"/>
            <w:tcBorders>
              <w:top w:val="single" w:color="000000" w:sz="6" w:space="0"/>
              <w:left w:val="nil"/>
              <w:bottom w:val="single" w:color="000000" w:sz="6" w:space="0"/>
              <w:right w:val="single" w:color="000000" w:sz="6" w:space="0"/>
            </w:tcBorders>
            <w:noWrap w:val="0"/>
            <w:vAlign w:val="center"/>
          </w:tcPr>
          <w:p w14:paraId="6D846C1E">
            <w:pPr>
              <w:spacing w:line="300" w:lineRule="exact"/>
              <w:ind w:left="-50" w:right="-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临床见习</w:t>
            </w:r>
          </w:p>
        </w:tc>
        <w:tc>
          <w:tcPr>
            <w:tcW w:w="2721" w:type="dxa"/>
            <w:tcBorders>
              <w:top w:val="single" w:color="000000" w:sz="6" w:space="0"/>
              <w:left w:val="nil"/>
              <w:bottom w:val="single" w:color="000000" w:sz="6" w:space="0"/>
              <w:right w:val="single" w:color="auto" w:sz="4" w:space="0"/>
            </w:tcBorders>
            <w:noWrap w:val="0"/>
            <w:vAlign w:val="center"/>
          </w:tcPr>
          <w:p w14:paraId="6610F3C4">
            <w:pPr>
              <w:spacing w:line="300" w:lineRule="exact"/>
              <w:ind w:left="-50" w:right="-5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综合牙科治疗台、空气压缩机、消毒柜</w:t>
            </w:r>
          </w:p>
        </w:tc>
      </w:tr>
    </w:tbl>
    <w:p w14:paraId="09C2F7FF">
      <w:pPr>
        <w:keepNext w:val="0"/>
        <w:keepLines w:val="0"/>
        <w:pageBreakBefore w:val="0"/>
        <w:kinsoku/>
        <w:wordWrap/>
        <w:topLinePunct w:val="0"/>
        <w:bidi w:val="0"/>
        <w:spacing w:line="35" w:lineRule="auto"/>
        <w:rPr>
          <w:rFonts w:hint="default" w:ascii="Times New Roman" w:hAnsi="Times New Roman" w:cs="Times New Roman"/>
          <w:color w:val="auto"/>
          <w:sz w:val="31"/>
          <w:szCs w:val="31"/>
        </w:rPr>
      </w:pPr>
    </w:p>
    <w:p w14:paraId="320D4037">
      <w:pPr>
        <w:pStyle w:val="5"/>
        <w:keepNext w:val="0"/>
        <w:keepLines w:val="0"/>
        <w:pageBreakBefore w:val="0"/>
        <w:widowControl/>
        <w:kinsoku/>
        <w:wordWrap/>
        <w:overflowPunct/>
        <w:topLinePunct w:val="0"/>
        <w:autoSpaceDE w:val="0"/>
        <w:autoSpaceDN w:val="0"/>
        <w:bidi w:val="0"/>
        <w:adjustRightInd w:val="0"/>
        <w:snapToGrid w:val="0"/>
        <w:spacing w:before="174" w:line="320" w:lineRule="auto"/>
        <w:ind w:firstLine="642" w:firstLineChars="200"/>
        <w:textAlignment w:val="baseline"/>
        <w:rPr>
          <w:rFonts w:hint="default" w:ascii="Times New Roman" w:hAnsi="Times New Roman" w:eastAsia="仿宋" w:cs="Times New Roman"/>
          <w:color w:val="auto"/>
          <w:sz w:val="31"/>
          <w:szCs w:val="31"/>
          <w:lang w:val="en-US" w:eastAsia="zh-CN"/>
        </w:rPr>
      </w:pPr>
      <w:r>
        <w:rPr>
          <w:rFonts w:hint="default" w:ascii="Times New Roman" w:hAnsi="Times New Roman" w:cs="Times New Roman"/>
          <w:b/>
          <w:bCs/>
          <w:color w:val="auto"/>
          <w:spacing w:val="5"/>
          <w:sz w:val="31"/>
          <w:szCs w:val="31"/>
        </w:rPr>
        <w:t>3.</w:t>
      </w:r>
      <w:r>
        <w:rPr>
          <w:rFonts w:hint="default" w:ascii="Times New Roman" w:hAnsi="Times New Roman" w:cs="Times New Roman"/>
          <w:color w:val="auto"/>
          <w:spacing w:val="5"/>
          <w:sz w:val="31"/>
          <w:szCs w:val="31"/>
        </w:rPr>
        <w:t xml:space="preserve"> </w:t>
      </w:r>
      <w:r>
        <w:rPr>
          <w:rFonts w:hint="default" w:ascii="Times New Roman" w:hAnsi="Times New Roman" w:cs="Times New Roman"/>
          <w:b/>
          <w:bCs/>
          <w:color w:val="auto"/>
          <w:spacing w:val="5"/>
          <w:sz w:val="31"/>
          <w:szCs w:val="31"/>
        </w:rPr>
        <w:t>校外实习实训基地</w:t>
      </w:r>
    </w:p>
    <w:p w14:paraId="081DF7C7">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本专业具有稳定的校外实习实训基地80余家，设施设备齐全，满足学生实习实训需求。其中，二级甲等以上医院10家，如甘肃省人民医院、兰州大学第一医院、甘肃省肿瘤医院，甘肃省妇幼保健院，甘肃中医药大学附属医院，兰州市第一人民医院，兰州市第二人民医院，兰州市口腔医院，兰州大学口腔医院等，为专业提供口腔医学等相关实习实训岗位；设有10台以上牙椅的口腔医疗机构如康美齿科医院、精进口腔、惠正口腔等，为专业提供口腔医学等相关实习实训岗位。各实习实训基地均制定完善的实习实训管理规章制度，配备了相应数量的中级及以上职称指导教师，对学生实习实训进行指导和管理，保障实习实训安全、有序进行。</w:t>
      </w:r>
    </w:p>
    <w:p w14:paraId="4EB04F87">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3" w:name="_Toc14853"/>
      <w:r>
        <w:rPr>
          <w:rFonts w:hint="default"/>
          <w:b/>
        </w:rPr>
        <w:t>（三）教学资源</w:t>
      </w:r>
      <w:bookmarkEnd w:id="23"/>
    </w:p>
    <w:p w14:paraId="2E5B27D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1.教材选用</w:t>
      </w:r>
    </w:p>
    <w:p w14:paraId="262AF23C">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选用近三年出版的国家规划教材、校企（院校）合作开发的特色课程教材以及与本专业人才培养方案中所需求的执业/职业资格证书或技能证书等考试相结合的教材。</w:t>
      </w:r>
    </w:p>
    <w:p w14:paraId="42D3E639">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2.图书文献</w:t>
      </w:r>
    </w:p>
    <w:p w14:paraId="42F55220">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配备能满足人才培养、专业建设、课程建设、教科研等工作需要的图书文献。口腔医学行业政策法规、行业标准、操作规范以及口腔执业助理医师手册等；口腔医学著作类图书和案例类图书；口腔专业学术期刊等。</w:t>
      </w:r>
    </w:p>
    <w:p w14:paraId="099C412D">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b/>
          <w:bCs/>
          <w:color w:val="auto"/>
          <w:sz w:val="31"/>
          <w:szCs w:val="31"/>
        </w:rPr>
      </w:pPr>
      <w:r>
        <w:rPr>
          <w:rFonts w:hint="default" w:ascii="Times New Roman" w:hAnsi="Times New Roman" w:cs="Times New Roman"/>
          <w:b/>
          <w:bCs/>
          <w:color w:val="auto"/>
          <w:sz w:val="31"/>
          <w:szCs w:val="31"/>
        </w:rPr>
        <w:t>3.数字资源</w:t>
      </w:r>
    </w:p>
    <w:p w14:paraId="3196753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建设、配备本专业音视频素材、教学课件、数字化教学案例库、虚拟仿真软件、数字教材等专业教学资源库，精品资源共享课，共享型在线开放课程等。</w:t>
      </w:r>
    </w:p>
    <w:p w14:paraId="66BFFC7E">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4" w:name="_Toc25402"/>
      <w:r>
        <w:rPr>
          <w:rFonts w:hint="default"/>
          <w:b/>
        </w:rPr>
        <w:t>（四）教学方法</w:t>
      </w:r>
      <w:bookmarkEnd w:id="24"/>
    </w:p>
    <w:p w14:paraId="1D4E44DC">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1.充分体现“课证融合、教学做评一体”的人才培养模式内涵，实现“能力</w:t>
      </w:r>
      <w:r>
        <w:rPr>
          <w:rFonts w:hint="eastAsia" w:ascii="Times New Roman" w:hAnsi="Times New Roman" w:cs="Times New Roman"/>
          <w:color w:val="auto"/>
          <w:sz w:val="31"/>
          <w:szCs w:val="31"/>
          <w:lang w:eastAsia="zh-CN"/>
        </w:rPr>
        <w:t>－</w:t>
      </w:r>
      <w:r>
        <w:rPr>
          <w:rFonts w:hint="default" w:ascii="Times New Roman" w:hAnsi="Times New Roman" w:cs="Times New Roman"/>
          <w:color w:val="auto"/>
          <w:sz w:val="31"/>
          <w:szCs w:val="31"/>
        </w:rPr>
        <w:t>课程一体化”“课程</w:t>
      </w:r>
      <w:r>
        <w:rPr>
          <w:rFonts w:hint="eastAsia" w:ascii="Times New Roman" w:hAnsi="Times New Roman" w:cs="Times New Roman"/>
          <w:color w:val="auto"/>
          <w:sz w:val="31"/>
          <w:szCs w:val="31"/>
          <w:lang w:eastAsia="zh-CN"/>
        </w:rPr>
        <w:t>－</w:t>
      </w:r>
      <w:r>
        <w:rPr>
          <w:rFonts w:hint="default" w:ascii="Times New Roman" w:hAnsi="Times New Roman" w:cs="Times New Roman"/>
          <w:color w:val="auto"/>
          <w:sz w:val="31"/>
          <w:szCs w:val="31"/>
        </w:rPr>
        <w:t>证书一体化”“考试</w:t>
      </w:r>
      <w:r>
        <w:rPr>
          <w:rFonts w:hint="eastAsia" w:ascii="Times New Roman" w:hAnsi="Times New Roman" w:cs="Times New Roman"/>
          <w:color w:val="auto"/>
          <w:sz w:val="31"/>
          <w:szCs w:val="31"/>
          <w:lang w:eastAsia="zh-CN"/>
        </w:rPr>
        <w:t>－</w:t>
      </w:r>
      <w:r>
        <w:rPr>
          <w:rFonts w:hint="default" w:ascii="Times New Roman" w:hAnsi="Times New Roman" w:cs="Times New Roman"/>
          <w:color w:val="auto"/>
          <w:sz w:val="31"/>
          <w:szCs w:val="31"/>
        </w:rPr>
        <w:t>考证一体化”。</w:t>
      </w:r>
    </w:p>
    <w:p w14:paraId="1ECF692D">
      <w:pPr>
        <w:pStyle w:val="8"/>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line="320" w:lineRule="auto"/>
        <w:ind w:firstLine="475"/>
        <w:jc w:val="both"/>
        <w:textAlignment w:val="baseline"/>
        <w:rPr>
          <w:rFonts w:hint="default" w:ascii="Times New Roman" w:hAnsi="Times New Roman" w:eastAsia="仿宋_GB2312" w:cs="Times New Roman"/>
          <w:color w:val="auto"/>
          <w:kern w:val="2"/>
          <w:sz w:val="31"/>
          <w:szCs w:val="31"/>
        </w:rPr>
      </w:pPr>
      <w:r>
        <w:rPr>
          <w:rFonts w:hint="default" w:ascii="Times New Roman" w:hAnsi="Times New Roman" w:eastAsia="仿宋_GB2312" w:cs="Times New Roman"/>
          <w:color w:val="auto"/>
          <w:kern w:val="2"/>
          <w:sz w:val="31"/>
          <w:szCs w:val="31"/>
        </w:rPr>
        <w:t>2.本专业采用任务驱动、项目导向、理实一体等多种形式的“做中学、做中教”教学模式。专业教师在教学过程中运用</w:t>
      </w:r>
      <w:r>
        <w:rPr>
          <w:rFonts w:hint="eastAsia" w:ascii="Times New Roman" w:hAnsi="Times New Roman" w:eastAsia="仿宋_GB2312" w:cs="Times New Roman"/>
          <w:color w:val="auto"/>
          <w:kern w:val="2"/>
          <w:sz w:val="31"/>
          <w:szCs w:val="31"/>
          <w:lang w:eastAsia="zh-CN"/>
        </w:rPr>
        <w:t>理论与实践相结合</w:t>
      </w:r>
      <w:r>
        <w:rPr>
          <w:rFonts w:hint="default" w:ascii="Times New Roman" w:hAnsi="Times New Roman" w:eastAsia="仿宋_GB2312" w:cs="Times New Roman"/>
          <w:color w:val="auto"/>
          <w:kern w:val="2"/>
          <w:sz w:val="31"/>
          <w:szCs w:val="31"/>
        </w:rPr>
        <w:t>的方法，在理论学习的同时，突出技能操作与训练。理论教学采取课堂讲授、讨论、专题讲座等多种形式，同时运用“智慧树”等多种信息化教学手段，将PowerPoint和微信结合，在课外预习与课堂教学间建立沟通桥梁，让课堂互动永不下线。在“智慧树”中，可以将带有MOOC视频、习题、语音的课前预习课件推送到学生手机，师生沟通及时反馈</w:t>
      </w:r>
      <w:r>
        <w:rPr>
          <w:rFonts w:hint="eastAsia" w:ascii="Times New Roman" w:hAnsi="Times New Roman" w:eastAsia="仿宋_GB2312" w:cs="Times New Roman"/>
          <w:color w:val="auto"/>
          <w:kern w:val="2"/>
          <w:sz w:val="31"/>
          <w:szCs w:val="31"/>
          <w:lang w:eastAsia="zh-CN"/>
        </w:rPr>
        <w:t>；在</w:t>
      </w:r>
      <w:r>
        <w:rPr>
          <w:rFonts w:hint="default" w:ascii="Times New Roman" w:hAnsi="Times New Roman" w:eastAsia="仿宋_GB2312" w:cs="Times New Roman"/>
          <w:color w:val="auto"/>
          <w:kern w:val="2"/>
          <w:sz w:val="31"/>
          <w:szCs w:val="31"/>
        </w:rPr>
        <w:t>课堂上实时答题、弹幕互动，为传统课堂教学师生互动提供了完美解决方案。科学地覆盖了课前</w:t>
      </w:r>
      <w:r>
        <w:rPr>
          <w:rFonts w:hint="eastAsia" w:ascii="Times New Roman" w:hAnsi="Times New Roman" w:eastAsia="仿宋_GB2312" w:cs="Times New Roman"/>
          <w:color w:val="auto"/>
          <w:kern w:val="2"/>
          <w:sz w:val="31"/>
          <w:szCs w:val="31"/>
          <w:lang w:eastAsia="zh-CN"/>
        </w:rPr>
        <w:t>－</w:t>
      </w:r>
      <w:r>
        <w:rPr>
          <w:rFonts w:hint="default" w:ascii="Times New Roman" w:hAnsi="Times New Roman" w:eastAsia="仿宋_GB2312" w:cs="Times New Roman"/>
          <w:color w:val="auto"/>
          <w:kern w:val="2"/>
          <w:sz w:val="31"/>
          <w:szCs w:val="31"/>
        </w:rPr>
        <w:t>课上</w:t>
      </w:r>
      <w:r>
        <w:rPr>
          <w:rFonts w:hint="eastAsia" w:ascii="Times New Roman" w:hAnsi="Times New Roman" w:eastAsia="仿宋_GB2312" w:cs="Times New Roman"/>
          <w:color w:val="auto"/>
          <w:kern w:val="2"/>
          <w:sz w:val="31"/>
          <w:szCs w:val="31"/>
          <w:lang w:eastAsia="zh-CN"/>
        </w:rPr>
        <w:t>－</w:t>
      </w:r>
      <w:r>
        <w:rPr>
          <w:rFonts w:hint="default" w:ascii="Times New Roman" w:hAnsi="Times New Roman" w:eastAsia="仿宋_GB2312" w:cs="Times New Roman"/>
          <w:color w:val="auto"/>
          <w:kern w:val="2"/>
          <w:sz w:val="31"/>
          <w:szCs w:val="31"/>
        </w:rPr>
        <w:t>课后的每一个教学环节，为师生提供完整立体的数据支持，个性化报表、自动任务提醒，让教与学更明了。实践教学采用校内实训、现场观摩、临床医院和义齿加工中心见习、病例分析讨论、病例模拟等多种形式进行。</w:t>
      </w:r>
    </w:p>
    <w:p w14:paraId="6019894C">
      <w:pPr>
        <w:pStyle w:val="8"/>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line="320" w:lineRule="auto"/>
        <w:ind w:firstLine="475"/>
        <w:jc w:val="both"/>
        <w:textAlignment w:val="baseline"/>
        <w:rPr>
          <w:rFonts w:hint="default" w:ascii="Times New Roman" w:hAnsi="Times New Roman" w:cs="Times New Roman"/>
          <w:color w:val="auto"/>
          <w:sz w:val="31"/>
          <w:szCs w:val="31"/>
        </w:rPr>
      </w:pPr>
      <w:r>
        <w:rPr>
          <w:rFonts w:hint="default" w:ascii="Times New Roman" w:hAnsi="Times New Roman" w:eastAsia="仿宋_GB2312" w:cs="Times New Roman"/>
          <w:color w:val="auto"/>
          <w:kern w:val="2"/>
          <w:sz w:val="31"/>
          <w:szCs w:val="31"/>
        </w:rPr>
        <w:t>为强化学生实践操作技能，本专业开展有牙体制备、超声波龈上洁治等特色技能培训，考核合格者颁发相关证书，使学生毕业时持有“毕业证+特色技能证书”，提高学生的就业竞争能力。</w:t>
      </w:r>
    </w:p>
    <w:p w14:paraId="7AE98E6F">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5" w:name="_Toc28210"/>
      <w:r>
        <w:rPr>
          <w:rFonts w:hint="default"/>
          <w:b/>
        </w:rPr>
        <w:t>（五）学习评价</w:t>
      </w:r>
      <w:bookmarkEnd w:id="25"/>
    </w:p>
    <w:p w14:paraId="1E2D3425">
      <w:pPr>
        <w:pStyle w:val="8"/>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line="320" w:lineRule="auto"/>
        <w:ind w:firstLine="475"/>
        <w:jc w:val="both"/>
        <w:textAlignment w:val="baseline"/>
        <w:rPr>
          <w:rFonts w:hint="default" w:ascii="Times New Roman" w:hAnsi="Times New Roman" w:eastAsia="仿宋_GB2312" w:cs="Times New Roman"/>
          <w:color w:val="auto"/>
          <w:kern w:val="2"/>
          <w:sz w:val="31"/>
          <w:szCs w:val="31"/>
        </w:rPr>
      </w:pPr>
      <w:r>
        <w:rPr>
          <w:rFonts w:hint="default" w:ascii="Times New Roman" w:hAnsi="Times New Roman" w:eastAsia="仿宋_GB2312" w:cs="Times New Roman"/>
          <w:color w:val="auto"/>
          <w:kern w:val="2"/>
          <w:sz w:val="31"/>
          <w:szCs w:val="31"/>
        </w:rPr>
        <w:t>1.突出过程性与阶段性评价，结合运用“智慧树”课前</w:t>
      </w:r>
      <w:r>
        <w:rPr>
          <w:rFonts w:hint="eastAsia" w:ascii="Times New Roman" w:hAnsi="Times New Roman" w:eastAsia="仿宋_GB2312" w:cs="Times New Roman"/>
          <w:color w:val="auto"/>
          <w:kern w:val="2"/>
          <w:sz w:val="31"/>
          <w:szCs w:val="31"/>
          <w:lang w:eastAsia="zh-CN"/>
        </w:rPr>
        <w:t>－</w:t>
      </w:r>
      <w:r>
        <w:rPr>
          <w:rFonts w:hint="default" w:ascii="Times New Roman" w:hAnsi="Times New Roman" w:eastAsia="仿宋_GB2312" w:cs="Times New Roman"/>
          <w:color w:val="auto"/>
          <w:kern w:val="2"/>
          <w:sz w:val="31"/>
          <w:szCs w:val="31"/>
        </w:rPr>
        <w:t>课上</w:t>
      </w:r>
      <w:r>
        <w:rPr>
          <w:rFonts w:hint="eastAsia" w:ascii="Times New Roman" w:hAnsi="Times New Roman" w:eastAsia="仿宋_GB2312" w:cs="Times New Roman"/>
          <w:color w:val="auto"/>
          <w:kern w:val="2"/>
          <w:sz w:val="31"/>
          <w:szCs w:val="31"/>
          <w:lang w:eastAsia="zh-CN"/>
        </w:rPr>
        <w:t>－</w:t>
      </w:r>
      <w:r>
        <w:rPr>
          <w:rFonts w:hint="default" w:ascii="Times New Roman" w:hAnsi="Times New Roman" w:eastAsia="仿宋_GB2312" w:cs="Times New Roman"/>
          <w:color w:val="auto"/>
          <w:kern w:val="2"/>
          <w:sz w:val="31"/>
          <w:szCs w:val="31"/>
        </w:rPr>
        <w:t>课后的提问、测验、技能操作，定期以单元测验、期中测试等形式进行加强实践性教学环节的教学评价。强调目标评价和理论与实践一体化评价，引导学生改变传统的学习方法，培养自主学习能力。强调课程综合能力评价，结合口腔医学临床病例的个案分析，充分发挥学生的主动性和创造力，培养发展学生的综合职业能力。</w:t>
      </w:r>
    </w:p>
    <w:p w14:paraId="1032A94F">
      <w:pPr>
        <w:pStyle w:val="8"/>
        <w:keepNext w:val="0"/>
        <w:keepLines w:val="0"/>
        <w:pageBreakBefore w:val="0"/>
        <w:widowControl/>
        <w:shd w:val="clear" w:color="auto" w:fill="FFFFFF"/>
        <w:kinsoku/>
        <w:wordWrap/>
        <w:overflowPunct/>
        <w:topLinePunct w:val="0"/>
        <w:autoSpaceDE w:val="0"/>
        <w:autoSpaceDN w:val="0"/>
        <w:bidi w:val="0"/>
        <w:adjustRightInd w:val="0"/>
        <w:snapToGrid w:val="0"/>
        <w:spacing w:before="0" w:beforeAutospacing="0" w:after="0" w:afterAutospacing="0" w:line="320" w:lineRule="auto"/>
        <w:ind w:firstLine="475"/>
        <w:jc w:val="both"/>
        <w:textAlignment w:val="baseline"/>
        <w:rPr>
          <w:rFonts w:hint="default" w:ascii="Times New Roman" w:hAnsi="Times New Roman" w:eastAsia="仿宋_GB2312" w:cs="Times New Roman"/>
          <w:color w:val="auto"/>
          <w:kern w:val="2"/>
          <w:sz w:val="31"/>
          <w:szCs w:val="31"/>
        </w:rPr>
      </w:pPr>
      <w:r>
        <w:rPr>
          <w:rFonts w:hint="default" w:ascii="Times New Roman" w:hAnsi="Times New Roman" w:eastAsia="仿宋_GB2312" w:cs="Times New Roman"/>
          <w:color w:val="auto"/>
          <w:kern w:val="2"/>
          <w:sz w:val="31"/>
          <w:szCs w:val="31"/>
        </w:rPr>
        <w:t>2.关注评价的多元性。一是评价主体的多元性，包括专业专任教师、专业兼职教师、临床专业人员，以及学生互评等；二是评价内容和方法的多元性，结合课堂提问与讨论、理论考试、技能操作、病例分析处理、临床见习，以及职业态度和职业能力等全面评价学生职业素质、基本理论知识、基本技能和职业核心能力。</w:t>
      </w:r>
    </w:p>
    <w:p w14:paraId="1ADBD538">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rPr>
        <w:t>3.学生学习的所有课程均应参加考核，考核内容包括素质、知识、能力</w:t>
      </w:r>
      <w:r>
        <w:rPr>
          <w:rFonts w:hint="default" w:ascii="Times New Roman" w:hAnsi="Times New Roman" w:cs="Times New Roman"/>
          <w:color w:val="auto"/>
          <w:sz w:val="31"/>
          <w:szCs w:val="31"/>
          <w:lang w:bidi="ar"/>
        </w:rPr>
        <w:t>3方面。</w:t>
      </w:r>
    </w:p>
    <w:p w14:paraId="45B83B3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4.必修课考核分为考试和考查2种，各门课程的考核必须按教学大纲的要求进行，跨学期课程按学期分别计算；成绩评定采用百分制，未通过必修课程考核时，可补考1次获取相应学分。</w:t>
      </w:r>
    </w:p>
    <w:p w14:paraId="0B0292D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5.选修课的成绩评定采用合格与不合格制，未通过课程考核时，限定选修课可补考一次获得相应学分；任意选修课可重修1次获取相应学分。</w:t>
      </w:r>
    </w:p>
    <w:p w14:paraId="36E4D68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6.毕业实习的评定采用合格与不合格制，各科出科考试通过，并获得30及以上学分时为实习合格。</w:t>
      </w:r>
    </w:p>
    <w:p w14:paraId="676700DC">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7.口腔解剖生理学、口腔内科学、口腔修复学等实践性强的课程应进行技能考试，成绩单列。</w:t>
      </w:r>
    </w:p>
    <w:p w14:paraId="4799ADB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8.毕业考试</w:t>
      </w:r>
      <w:r>
        <w:rPr>
          <w:rFonts w:hint="eastAsia" w:ascii="Times New Roman" w:hAnsi="Times New Roman" w:cs="Times New Roman"/>
          <w:color w:val="auto"/>
          <w:sz w:val="31"/>
          <w:szCs w:val="31"/>
          <w:lang w:eastAsia="zh-CN" w:bidi="ar"/>
        </w:rPr>
        <w:t>科目</w:t>
      </w:r>
      <w:r>
        <w:rPr>
          <w:rFonts w:hint="default" w:ascii="Times New Roman" w:hAnsi="Times New Roman" w:cs="Times New Roman"/>
          <w:color w:val="auto"/>
          <w:sz w:val="31"/>
          <w:szCs w:val="31"/>
          <w:lang w:bidi="ar"/>
        </w:rPr>
        <w:t>：口腔基础医学理论综合、口腔临床医学理论综合（一）、口腔临床医学理论综合（二）。</w:t>
      </w:r>
    </w:p>
    <w:p w14:paraId="3C62D859">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6" w:name="_Toc12533"/>
      <w:r>
        <w:rPr>
          <w:rFonts w:hint="default"/>
          <w:b/>
        </w:rPr>
        <w:t>（六）质量管理</w:t>
      </w:r>
      <w:bookmarkEnd w:id="26"/>
    </w:p>
    <w:p w14:paraId="2E66ED1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1.学校和二级学院建立专业建设和教学质量诊断与改进机制，健全专业教学质量监控管理制度，完善课堂教学、教学评价、实习实训、毕业设计以及专业调研、人才培养方案更新、资源库建设等方面质量标准建设，通过教学实施、过程监控、质量评价和持续改进，达成人才培养规格。</w:t>
      </w:r>
    </w:p>
    <w:p w14:paraId="6469FFA7">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2.学校和二级学院完善教学管理机制，加强日常教学组织运行与管理，定期开展课程建设水平和教学质量诊断与改进，建立健全巡课、听课、评课、评学等制度，建立与医疗机构联动的实践教学环节督导制度，严明教学纪律，强化教学组织功能，定期开展公开课、示范课等教研活动。</w:t>
      </w:r>
    </w:p>
    <w:p w14:paraId="31AFD47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3.学校应建立毕业生跟踪反馈机制及社会评价机制，并对生源情况、在校生学业水平、毕业生就业情况等进行分析，定期评价人才培养质量和培养目标达成情况。</w:t>
      </w:r>
    </w:p>
    <w:p w14:paraId="327241FE">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bidi="ar"/>
        </w:rPr>
      </w:pPr>
      <w:r>
        <w:rPr>
          <w:rFonts w:hint="default" w:ascii="Times New Roman" w:hAnsi="Times New Roman" w:cs="Times New Roman"/>
          <w:color w:val="auto"/>
          <w:sz w:val="31"/>
          <w:szCs w:val="31"/>
          <w:lang w:bidi="ar"/>
        </w:rPr>
        <w:t>4.系部教研室应充分利用教学团队，进行课程建设。首先，根据人才培养方案落实专业课程标准，每学期选聘合格的教师承担教学任务。其次，利用信息化教学平台，建设3～4门优质在线开放课程。最后，充分结合行业特点，加大实践课比例，切实持续提高人才培养质量。</w:t>
      </w:r>
    </w:p>
    <w:p w14:paraId="09D474EE">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7" w:name="_Toc5978"/>
      <w:r>
        <w:rPr>
          <w:rFonts w:hint="default"/>
          <w:b/>
        </w:rPr>
        <w:t>九、毕业要求</w:t>
      </w:r>
      <w:bookmarkEnd w:id="27"/>
    </w:p>
    <w:p w14:paraId="485729ED">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1.修完本专业人才培养方案规定的所有课程，成绩合格；并取得本专业培养方案所规定的最低学分；</w:t>
      </w:r>
    </w:p>
    <w:p w14:paraId="03C2E0AC">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2.完成教学见习、毕业实习等实践活动任务，考核合格；</w:t>
      </w:r>
    </w:p>
    <w:p w14:paraId="7018A332">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3.毕业考试成绩合格；</w:t>
      </w:r>
    </w:p>
    <w:p w14:paraId="6AF44338">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4.德、智、体、美、劳诸方面审核合格；</w:t>
      </w:r>
    </w:p>
    <w:p w14:paraId="3F45B980">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default" w:ascii="Times New Roman" w:hAnsi="Times New Roman" w:cs="Times New Roman"/>
          <w:color w:val="auto"/>
          <w:sz w:val="31"/>
          <w:szCs w:val="31"/>
        </w:rPr>
        <w:t>5.推进落实“1+X”证书制度</w:t>
      </w:r>
      <w:r>
        <w:rPr>
          <w:rFonts w:hint="eastAsia" w:ascii="Times New Roman" w:hAnsi="Times New Roman" w:cs="Times New Roman"/>
          <w:color w:val="auto"/>
          <w:sz w:val="31"/>
          <w:szCs w:val="31"/>
          <w:lang w:eastAsia="zh-CN"/>
        </w:rPr>
        <w:t>，</w:t>
      </w:r>
      <w:r>
        <w:rPr>
          <w:rFonts w:hint="default" w:ascii="Times New Roman" w:hAnsi="Times New Roman" w:cs="Times New Roman"/>
          <w:color w:val="auto"/>
          <w:sz w:val="31"/>
          <w:szCs w:val="31"/>
        </w:rPr>
        <w:t>要求学生考取英语等级证书、计算机等级证书、普通话水平等级证书、执业资格证书等职业技能等级证书。</w:t>
      </w:r>
    </w:p>
    <w:p w14:paraId="32EFD1AF">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default"/>
          <w:b/>
        </w:rPr>
      </w:pPr>
      <w:bookmarkStart w:id="28" w:name="_Toc2827"/>
      <w:r>
        <w:rPr>
          <w:rFonts w:hint="default"/>
          <w:b/>
        </w:rPr>
        <w:t>十、附录</w:t>
      </w:r>
      <w:bookmarkEnd w:id="28"/>
    </w:p>
    <w:p w14:paraId="7FCA439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（一）</w:t>
      </w:r>
      <w:r>
        <w:rPr>
          <w:rFonts w:hint="default" w:ascii="Times New Roman" w:hAnsi="Times New Roman" w:cs="Times New Roman"/>
          <w:color w:val="auto"/>
          <w:sz w:val="31"/>
          <w:szCs w:val="31"/>
          <w:lang w:val="en-US" w:eastAsia="zh-CN"/>
        </w:rPr>
        <w:t>口腔美学修复与微距摄影</w:t>
      </w:r>
      <w:r>
        <w:rPr>
          <w:rFonts w:hint="default" w:ascii="Times New Roman" w:hAnsi="Times New Roman" w:cs="Times New Roman"/>
          <w:color w:val="auto"/>
          <w:sz w:val="31"/>
          <w:szCs w:val="31"/>
          <w:lang w:val="en-US" w:eastAsia="en-US"/>
        </w:rPr>
        <w:t>微专业</w:t>
      </w:r>
      <w:r>
        <w:rPr>
          <w:rFonts w:hint="default" w:ascii="Times New Roman" w:hAnsi="Times New Roman" w:cs="Times New Roman"/>
          <w:color w:val="auto"/>
          <w:sz w:val="31"/>
          <w:szCs w:val="31"/>
          <w:lang w:val="en-US" w:eastAsia="zh-CN"/>
        </w:rPr>
        <w:t>介绍</w:t>
      </w:r>
    </w:p>
    <w:p w14:paraId="3CA6010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1.</w:t>
      </w:r>
      <w:r>
        <w:rPr>
          <w:rFonts w:hint="default" w:ascii="Times New Roman" w:hAnsi="Times New Roman" w:cs="Times New Roman"/>
          <w:color w:val="auto"/>
          <w:sz w:val="31"/>
          <w:szCs w:val="31"/>
          <w:lang w:val="en-US" w:eastAsia="zh-CN"/>
        </w:rPr>
        <w:t>培养目标与岗位定位</w:t>
      </w:r>
    </w:p>
    <w:p w14:paraId="0A07B078">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（1）</w:t>
      </w:r>
      <w:r>
        <w:rPr>
          <w:rFonts w:hint="default" w:ascii="Times New Roman" w:hAnsi="Times New Roman" w:cs="Times New Roman"/>
          <w:color w:val="auto"/>
          <w:sz w:val="31"/>
          <w:szCs w:val="31"/>
          <w:lang w:val="en-US" w:eastAsia="zh-CN"/>
        </w:rPr>
        <w:t>培养目标</w:t>
      </w:r>
    </w:p>
    <w:p w14:paraId="2F5726B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面向口腔医疗行业，依托口腔医学、口腔医学技术专业办学基础，培养德技并修、综合素质优良，系统掌握口腔美学修复理论知识与实操技法，熟练运用口腔微距摄影设备完成临床影像采集、后期处理与病例归档，具备口腔美学修复全流程作业、数字化影像记录及病例应用能力的专科层次复合型技术技能人才。学生结业后可独立处理口腔美学修复基础临床问题，契合行业数字化、美学化发展需求，能够胜任口腔美学修复与口腔医疗影像相关岗位工作。</w:t>
      </w:r>
    </w:p>
    <w:p w14:paraId="7A35375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w:t>
      </w:r>
      <w:r>
        <w:rPr>
          <w:rFonts w:hint="eastAsia" w:ascii="Times New Roman" w:hAnsi="Times New Roman" w:cs="Times New Roman"/>
          <w:color w:val="auto"/>
          <w:sz w:val="31"/>
          <w:szCs w:val="31"/>
          <w:lang w:val="en-US" w:eastAsia="zh-CN"/>
        </w:rPr>
        <w:t>2</w:t>
      </w:r>
      <w:r>
        <w:rPr>
          <w:rFonts w:hint="default" w:ascii="Times New Roman" w:hAnsi="Times New Roman" w:cs="Times New Roman"/>
          <w:color w:val="auto"/>
          <w:sz w:val="31"/>
          <w:szCs w:val="31"/>
          <w:lang w:val="en-US" w:eastAsia="zh-CN"/>
        </w:rPr>
        <w:t>）岗位定位</w:t>
      </w:r>
    </w:p>
    <w:p w14:paraId="5220646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主要面向各级口腔医疗机构、高端口腔门诊、口腔义齿加工企业等单位，对应核心岗位为口腔美学修复技师、口腔临床修复专员、义齿美学设计专员等。毕业生可就职于口腔医疗机构修复科、椅旁义齿修复中心、义齿企业设计部，从事牙体美学修复、修复前后影像采集、病例数字化留存、学术交流影像制作等相关工作。</w:t>
      </w:r>
    </w:p>
    <w:p w14:paraId="68EDE51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2.</w:t>
      </w:r>
      <w:r>
        <w:rPr>
          <w:rFonts w:hint="default" w:ascii="Times New Roman" w:hAnsi="Times New Roman" w:cs="Times New Roman"/>
          <w:color w:val="auto"/>
          <w:sz w:val="31"/>
          <w:szCs w:val="31"/>
          <w:lang w:val="en-US" w:eastAsia="zh-CN"/>
        </w:rPr>
        <w:t>核心能力要求</w:t>
      </w:r>
    </w:p>
    <w:p w14:paraId="172725D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专业理论能力：掌握口腔美学基本原理、牙体美学解剖知识，熟知口腔美学修复设计思路与行业技术规范。</w:t>
      </w:r>
    </w:p>
    <w:p w14:paraId="3508239D">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美学修复实操能力：熟练完成前牙美学修复蜡型堆塑、牙体形态美学塑造，具备常规牙体美学修复基础操作能力。</w:t>
      </w:r>
    </w:p>
    <w:p w14:paraId="05907CAD">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微距摄影与影像处理能力：能够规范操作口腔微距摄影设备，精准完成口内影像取景、拍摄，熟练开展影像后期修图、整理与归档。</w:t>
      </w:r>
    </w:p>
    <w:p w14:paraId="234CB84A">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综合应用能力：可结合美学修复技术与影像技能完成完整临床病例实操、效果评估与病例展示，具备岗位适配的临床思维与实操应变能力。</w:t>
      </w:r>
    </w:p>
    <w:p w14:paraId="181E52A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职业素养能力：恪守医疗行业职业道德与操作规范，具备良好的沟通协作、岗位适应与持续学习能力。</w:t>
      </w:r>
    </w:p>
    <w:p w14:paraId="4A30ABF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3.</w:t>
      </w:r>
      <w:r>
        <w:rPr>
          <w:rFonts w:hint="default" w:ascii="Times New Roman" w:hAnsi="Times New Roman" w:cs="Times New Roman"/>
          <w:color w:val="auto"/>
          <w:sz w:val="31"/>
          <w:szCs w:val="31"/>
          <w:lang w:val="en-US" w:eastAsia="zh-CN"/>
        </w:rPr>
        <w:t>主要课程设置</w:t>
      </w:r>
    </w:p>
    <w:p w14:paraId="38E2CDC5">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本微专业采用基础+核心+实操+综合应用递进式课程体系，共设置4门核心课程，实行理实一体化教学，课程设置紧密对接岗位实际需求。</w:t>
      </w:r>
    </w:p>
    <w:p w14:paraId="01A1BB42">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《口腔美学修复基础》：共计12学时，讲授口腔美学原理、牙体美学解剖等基础理论，结合临床典型美学案例开展分析讲解，搭建专业理论框架，为实操课程奠定基础。</w:t>
      </w:r>
    </w:p>
    <w:p w14:paraId="6B9E4C5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《前牙美学修复蜡型堆塑》：共计12学时，核心实操课程，重点训练美学蜡型堆塑、牙体形态美学设计等专业技法，强化实操精度与标准化操作能力。</w:t>
      </w:r>
    </w:p>
    <w:p w14:paraId="3A095F43">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《口腔微距摄影技法》：共计12学时，讲解微距摄影设备操作、口内临床拍摄技巧、影像后期处理方法，侧重训练口腔场景精准拍摄与影像优化技能。</w:t>
      </w:r>
    </w:p>
    <w:p w14:paraId="3EB0D3CA">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《口腔美学修复病例影像综合应用》：共计12学时，融合前期所学知识与技能，开展病例方案设计、全程影像采集、修复效果评估等综合实训，提升岗位综合应用能力。</w:t>
      </w:r>
    </w:p>
    <w:p w14:paraId="5AC28B0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4.</w:t>
      </w:r>
      <w:r>
        <w:rPr>
          <w:rFonts w:hint="default" w:ascii="Times New Roman" w:hAnsi="Times New Roman" w:cs="Times New Roman"/>
          <w:color w:val="auto"/>
          <w:sz w:val="31"/>
          <w:szCs w:val="31"/>
          <w:lang w:val="en-US" w:eastAsia="zh-CN"/>
        </w:rPr>
        <w:t>学时说明</w:t>
      </w:r>
    </w:p>
    <w:p w14:paraId="08F535F7">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总学分4分，总学时48学时，四门课程各分配12学时。全部课程均采用理实一体化教学模式，实操教学占比70%。教学依托校内仿真模拟实训室、修复工艺实训室开展基础技能训练，并结合校外合作医疗机构、义齿企业开展临床见习与岗位实训，校内校外教学场景联动，保障教学实效。</w:t>
      </w:r>
    </w:p>
    <w:p w14:paraId="7EB57CFC">
      <w:pPr>
        <w:pStyle w:val="12"/>
        <w:keepNext w:val="0"/>
        <w:keepLines w:val="0"/>
        <w:pageBreakBefore w:val="0"/>
        <w:widowControl/>
        <w:numPr>
          <w:ilvl w:val="0"/>
          <w:numId w:val="5"/>
        </w:numPr>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口腔椅旁数字化修复技术微专业介绍</w:t>
      </w:r>
    </w:p>
    <w:p w14:paraId="2CCEEC90">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1.</w:t>
      </w:r>
      <w:r>
        <w:rPr>
          <w:rFonts w:hint="default" w:ascii="Times New Roman" w:hAnsi="Times New Roman" w:cs="Times New Roman"/>
          <w:color w:val="auto"/>
          <w:sz w:val="31"/>
          <w:szCs w:val="31"/>
          <w:lang w:val="en-US" w:eastAsia="zh-CN"/>
        </w:rPr>
        <w:t>培养目标与岗位定位</w:t>
      </w:r>
    </w:p>
    <w:p w14:paraId="34C04356">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w:t>
      </w:r>
      <w:r>
        <w:rPr>
          <w:rFonts w:hint="eastAsia" w:ascii="Times New Roman" w:hAnsi="Times New Roman" w:cs="Times New Roman"/>
          <w:color w:val="auto"/>
          <w:sz w:val="31"/>
          <w:szCs w:val="31"/>
          <w:lang w:val="en-US" w:eastAsia="zh-CN"/>
        </w:rPr>
        <w:t>1</w:t>
      </w:r>
      <w:r>
        <w:rPr>
          <w:rFonts w:hint="default" w:ascii="Times New Roman" w:hAnsi="Times New Roman" w:cs="Times New Roman"/>
          <w:color w:val="auto"/>
          <w:sz w:val="31"/>
          <w:szCs w:val="31"/>
          <w:lang w:val="en-US" w:eastAsia="zh-CN"/>
        </w:rPr>
        <w:t>）培养目标</w:t>
      </w:r>
    </w:p>
    <w:p w14:paraId="7023A0FC">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紧扣口腔医疗行业数字化转型发展趋势，面向口腔医学、口腔医学技术专业专科学生开展培养工作。旨在培养德技并修、职业素养良好，掌握口腔数字化修复基础理论与牙体数字化建模相关知识，能够熟练操作口内扫描仪、CAD设计软件、椅旁切削机等专业设备，独立完成单冠、嵌体等修复体椅旁数字化设计、制作与调试，具备口腔</w:t>
      </w:r>
      <w:bookmarkStart w:id="29" w:name="_GoBack"/>
      <w:r>
        <w:rPr>
          <w:rFonts w:hint="default" w:ascii="Times New Roman" w:hAnsi="Times New Roman" w:cs="Times New Roman"/>
          <w:color w:val="auto"/>
          <w:sz w:val="31"/>
          <w:szCs w:val="31"/>
          <w:lang w:val="en-US" w:eastAsia="zh-CN"/>
        </w:rPr>
        <w:t>椅旁</w:t>
      </w:r>
      <w:bookmarkEnd w:id="29"/>
      <w:r>
        <w:rPr>
          <w:rFonts w:hint="default" w:ascii="Times New Roman" w:hAnsi="Times New Roman" w:cs="Times New Roman"/>
          <w:color w:val="auto"/>
          <w:sz w:val="31"/>
          <w:szCs w:val="31"/>
          <w:lang w:val="en-US" w:eastAsia="zh-CN"/>
        </w:rPr>
        <w:t>数字化修复全流程实操能力及常见问题处置能力的专科层次复合型技术技能人才，满足行业对数字化修复实操人才的用工需求。</w:t>
      </w:r>
    </w:p>
    <w:p w14:paraId="0AD75320">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w:t>
      </w:r>
      <w:r>
        <w:rPr>
          <w:rFonts w:hint="eastAsia" w:ascii="Times New Roman" w:hAnsi="Times New Roman" w:cs="Times New Roman"/>
          <w:color w:val="auto"/>
          <w:sz w:val="31"/>
          <w:szCs w:val="31"/>
          <w:lang w:val="en-US" w:eastAsia="zh-CN"/>
        </w:rPr>
        <w:t>2</w:t>
      </w:r>
      <w:r>
        <w:rPr>
          <w:rFonts w:hint="default" w:ascii="Times New Roman" w:hAnsi="Times New Roman" w:cs="Times New Roman"/>
          <w:color w:val="auto"/>
          <w:sz w:val="31"/>
          <w:szCs w:val="31"/>
          <w:lang w:val="en-US" w:eastAsia="zh-CN"/>
        </w:rPr>
        <w:t>）岗位定位</w:t>
      </w:r>
    </w:p>
    <w:p w14:paraId="1D9D6E5A">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主要面向各级口腔医疗机构、口腔数字化设备企业、义齿加工企业。毕业生可任职于口腔机构修复科、数字化口腔中心，从事椅旁数字化修复操作工作；也可在数字化设备企业承担技术支持、实操培训等岗位工作，或在义齿加工企业从事数字化义齿设计、加工等相关工作。</w:t>
      </w:r>
    </w:p>
    <w:p w14:paraId="5774AC5F">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2.</w:t>
      </w:r>
      <w:r>
        <w:rPr>
          <w:rFonts w:hint="default" w:ascii="Times New Roman" w:hAnsi="Times New Roman" w:cs="Times New Roman"/>
          <w:color w:val="auto"/>
          <w:sz w:val="31"/>
          <w:szCs w:val="31"/>
          <w:lang w:val="en-US" w:eastAsia="zh-CN"/>
        </w:rPr>
        <w:t>核心能力要求</w:t>
      </w:r>
    </w:p>
    <w:p w14:paraId="48818F6E">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理论认知能力：掌握口腔数字化修复基本原理、牙体数字化解剖知识，建立标准化数字化修复思维，熟悉行业技术规范与操作准则。</w:t>
      </w:r>
    </w:p>
    <w:p w14:paraId="78A665C6">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设备操作能力：熟练使用口内扫描仪完成口内数据采集、扫描数据优化，精准把控扫描精度与作业效率。</w:t>
      </w:r>
    </w:p>
    <w:p w14:paraId="7E80BCD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数字化设计能力：能够运用 CAD/CAM 设计软件完成修复体数字化建模、形态优化，设计方案贴合临床诊疗要求。</w:t>
      </w:r>
    </w:p>
    <w:p w14:paraId="303CD337">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加工与临床适配能力：掌握椅旁切削设备操作方法，完成修复体切削加工、试戴及调改，可独立处理临床实操中的常见问题。</w:t>
      </w:r>
    </w:p>
    <w:p w14:paraId="78F4C9A6">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综合职业能力：具备岗位所需的协作能力、问题研判能力与持续学习能力，恪守医疗行业职业道德与安全操作规范。</w:t>
      </w:r>
    </w:p>
    <w:p w14:paraId="64BC0F9D">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3.</w:t>
      </w:r>
      <w:r>
        <w:rPr>
          <w:rFonts w:hint="default" w:ascii="Times New Roman" w:hAnsi="Times New Roman" w:cs="Times New Roman"/>
          <w:color w:val="auto"/>
          <w:sz w:val="31"/>
          <w:szCs w:val="31"/>
          <w:lang w:val="en-US" w:eastAsia="zh-CN"/>
        </w:rPr>
        <w:t>主要课程设置</w:t>
      </w:r>
    </w:p>
    <w:p w14:paraId="731C700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本微专业依据岗位核心能力要求，搭建基础+设备操作+设计+综合应用阶梯式课程体系，共开设4门课程，采用理实一体化、项目式教学模式，课程内容紧密对接临床岗位实际应用。</w:t>
      </w:r>
    </w:p>
    <w:p w14:paraId="0B107851">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《口腔椅旁数字化修复基础》：共计12学时，讲授数字化修复原理、牙体数字化解剖等基础内容，帮助学生构建数字化修复知识框架，奠定理论根基。</w:t>
      </w:r>
    </w:p>
    <w:p w14:paraId="313C2C99">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《口腔椅旁口内扫描技术》：共计12学时，为核心实操课程，重点训练口内扫描仪规范操作、扫描数据修正等技能，强化实操精准度。</w:t>
      </w:r>
    </w:p>
    <w:p w14:paraId="3CA6C9B9">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《口腔修复 CAD/CAM 数字化设计》：共计12学时，学习数字化设计软件操作，开展修复体建模、形态设计实训，提升数字化设计应用能力。</w:t>
      </w:r>
    </w:p>
    <w:p w14:paraId="18C16EDA">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《椅旁数字化切削与修复体试戴调改》：共计12学时，融合设备切削加工、修复体临床试戴、形态调改等内容，开展全流程综合实训，强化岗位综合实操能力。</w:t>
      </w:r>
    </w:p>
    <w:p w14:paraId="394E536D">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eastAsia" w:ascii="Times New Roman" w:hAnsi="Times New Roman" w:cs="Times New Roman"/>
          <w:color w:val="auto"/>
          <w:sz w:val="31"/>
          <w:szCs w:val="31"/>
          <w:lang w:val="en-US" w:eastAsia="zh-CN"/>
        </w:rPr>
        <w:t>4.</w:t>
      </w:r>
      <w:r>
        <w:rPr>
          <w:rFonts w:hint="default" w:ascii="Times New Roman" w:hAnsi="Times New Roman" w:cs="Times New Roman"/>
          <w:color w:val="auto"/>
          <w:sz w:val="31"/>
          <w:szCs w:val="31"/>
          <w:lang w:val="en-US" w:eastAsia="zh-CN"/>
        </w:rPr>
        <w:t>学时说明</w:t>
      </w:r>
    </w:p>
    <w:p w14:paraId="14DB867B">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zh-CN"/>
        </w:rPr>
      </w:pPr>
      <w:r>
        <w:rPr>
          <w:rFonts w:hint="default" w:ascii="Times New Roman" w:hAnsi="Times New Roman" w:cs="Times New Roman"/>
          <w:color w:val="auto"/>
          <w:sz w:val="31"/>
          <w:szCs w:val="31"/>
          <w:lang w:val="en-US" w:eastAsia="zh-CN"/>
        </w:rPr>
        <w:t>本微专业总学分4分，总学时48学时，四门课程各分配12学时。全部课程实行理实一体化教学，实操教学占比75%。教学依托校内口腔数字化修复实训室开展基础技能训练，同时联合校外合作口腔机构、义齿企业开展临床见习与岗位实训，实现教学与岗位无缝衔接。</w:t>
      </w:r>
    </w:p>
    <w:p w14:paraId="1CFBDE74">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lang w:val="en-US" w:eastAsia="en-US"/>
        </w:rPr>
      </w:pPr>
      <w:r>
        <w:rPr>
          <w:rFonts w:hint="eastAsia" w:ascii="Times New Roman" w:hAnsi="Times New Roman" w:cs="Times New Roman"/>
          <w:color w:val="auto"/>
          <w:sz w:val="31"/>
          <w:szCs w:val="31"/>
          <w:lang w:val="en-US" w:eastAsia="zh-CN"/>
        </w:rPr>
        <w:t>（三）</w:t>
      </w:r>
      <w:r>
        <w:rPr>
          <w:rFonts w:hint="default" w:ascii="Times New Roman" w:hAnsi="Times New Roman" w:cs="Times New Roman"/>
          <w:color w:val="auto"/>
          <w:sz w:val="31"/>
          <w:szCs w:val="31"/>
          <w:lang w:val="en-US" w:eastAsia="en-US"/>
        </w:rPr>
        <w:t>甘肃卫生职业学院</w:t>
      </w:r>
      <w:r>
        <w:rPr>
          <w:rFonts w:hint="default" w:ascii="Times New Roman" w:hAnsi="Times New Roman" w:cs="Times New Roman"/>
          <w:color w:val="auto"/>
          <w:sz w:val="31"/>
          <w:szCs w:val="31"/>
          <w:lang w:val="en-US" w:eastAsia="zh-CN"/>
        </w:rPr>
        <w:t>口腔医学</w:t>
      </w:r>
      <w:r>
        <w:rPr>
          <w:rFonts w:hint="default" w:ascii="Times New Roman" w:hAnsi="Times New Roman" w:cs="Times New Roman"/>
          <w:color w:val="auto"/>
          <w:sz w:val="31"/>
          <w:szCs w:val="31"/>
          <w:lang w:val="en-US" w:eastAsia="en-US"/>
        </w:rPr>
        <w:t>专业人才培养方案论证意见表</w:t>
      </w:r>
    </w:p>
    <w:p w14:paraId="4446B84E">
      <w:pPr>
        <w:pStyle w:val="12"/>
        <w:keepNext w:val="0"/>
        <w:keepLines w:val="0"/>
        <w:pageBreakBefore w:val="0"/>
        <w:widowControl/>
        <w:kinsoku/>
        <w:wordWrap/>
        <w:overflowPunct/>
        <w:topLinePunct w:val="0"/>
        <w:autoSpaceDE w:val="0"/>
        <w:autoSpaceDN w:val="0"/>
        <w:bidi w:val="0"/>
        <w:adjustRightInd w:val="0"/>
        <w:snapToGrid w:val="0"/>
        <w:spacing w:line="320" w:lineRule="auto"/>
        <w:textAlignment w:val="baseline"/>
        <w:rPr>
          <w:rFonts w:hint="default" w:ascii="Times New Roman" w:hAnsi="Times New Roman" w:cs="Times New Roman"/>
          <w:color w:val="auto"/>
          <w:sz w:val="31"/>
          <w:szCs w:val="31"/>
        </w:rPr>
      </w:pPr>
      <w:r>
        <w:rPr>
          <w:rFonts w:hint="eastAsia" w:ascii="Times New Roman" w:hAnsi="Times New Roman" w:cs="Times New Roman"/>
          <w:color w:val="auto"/>
          <w:sz w:val="31"/>
          <w:szCs w:val="31"/>
          <w:lang w:val="en-US" w:eastAsia="zh-CN"/>
        </w:rPr>
        <w:t>（四）</w:t>
      </w:r>
      <w:r>
        <w:rPr>
          <w:rFonts w:hint="default" w:ascii="Times New Roman" w:hAnsi="Times New Roman" w:cs="Times New Roman"/>
          <w:color w:val="auto"/>
          <w:sz w:val="31"/>
          <w:szCs w:val="31"/>
        </w:rPr>
        <w:t>甘肃卫生职业学院</w:t>
      </w:r>
      <w:r>
        <w:rPr>
          <w:rFonts w:hint="default" w:ascii="Times New Roman" w:hAnsi="Times New Roman" w:cs="Times New Roman"/>
          <w:color w:val="auto"/>
          <w:sz w:val="31"/>
          <w:szCs w:val="31"/>
          <w:lang w:val="en-US" w:eastAsia="zh-CN"/>
        </w:rPr>
        <w:t>口腔医学</w:t>
      </w:r>
      <w:r>
        <w:rPr>
          <w:rFonts w:hint="default" w:ascii="Times New Roman" w:hAnsi="Times New Roman" w:cs="Times New Roman"/>
          <w:color w:val="auto"/>
          <w:sz w:val="31"/>
          <w:szCs w:val="31"/>
        </w:rPr>
        <w:t>专业人才培养方案审批表</w:t>
      </w:r>
    </w:p>
    <w:p w14:paraId="5BD2BC64">
      <w:pPr>
        <w:pStyle w:val="5"/>
        <w:keepNext w:val="0"/>
        <w:keepLines w:val="0"/>
        <w:pageBreakBefore w:val="0"/>
        <w:widowControl/>
        <w:kinsoku/>
        <w:wordWrap/>
        <w:overflowPunct/>
        <w:topLinePunct w:val="0"/>
        <w:autoSpaceDE w:val="0"/>
        <w:autoSpaceDN w:val="0"/>
        <w:bidi w:val="0"/>
        <w:adjustRightInd w:val="0"/>
        <w:snapToGrid w:val="0"/>
        <w:spacing w:line="317" w:lineRule="auto"/>
        <w:ind w:right="0"/>
        <w:jc w:val="right"/>
        <w:textAlignment w:val="baseline"/>
        <w:rPr>
          <w:rFonts w:hint="default" w:ascii="Times New Roman" w:hAnsi="Times New Roman" w:cs="Times New Roman"/>
          <w:color w:val="auto"/>
          <w:spacing w:val="-15"/>
        </w:rPr>
      </w:pPr>
    </w:p>
    <w:p w14:paraId="35A70311">
      <w:pPr>
        <w:pStyle w:val="5"/>
        <w:keepNext w:val="0"/>
        <w:keepLines w:val="0"/>
        <w:pageBreakBefore w:val="0"/>
        <w:widowControl/>
        <w:kinsoku/>
        <w:wordWrap/>
        <w:overflowPunct/>
        <w:topLinePunct w:val="0"/>
        <w:autoSpaceDE w:val="0"/>
        <w:autoSpaceDN w:val="0"/>
        <w:bidi w:val="0"/>
        <w:adjustRightInd w:val="0"/>
        <w:snapToGrid w:val="0"/>
        <w:spacing w:line="317" w:lineRule="auto"/>
        <w:ind w:right="0"/>
        <w:jc w:val="right"/>
        <w:textAlignment w:val="baseline"/>
        <w:rPr>
          <w:rFonts w:hint="default" w:ascii="Times New Roman" w:hAnsi="Times New Roman" w:cs="Times New Roman"/>
          <w:color w:val="auto"/>
          <w:spacing w:val="-15"/>
        </w:rPr>
      </w:pPr>
    </w:p>
    <w:p w14:paraId="430D67F8">
      <w:pPr>
        <w:pStyle w:val="5"/>
        <w:keepNext w:val="0"/>
        <w:keepLines w:val="0"/>
        <w:pageBreakBefore w:val="0"/>
        <w:widowControl/>
        <w:kinsoku/>
        <w:wordWrap/>
        <w:overflowPunct/>
        <w:topLinePunct w:val="0"/>
        <w:autoSpaceDE w:val="0"/>
        <w:autoSpaceDN w:val="0"/>
        <w:bidi w:val="0"/>
        <w:adjustRightInd w:val="0"/>
        <w:snapToGrid w:val="0"/>
        <w:spacing w:line="317" w:lineRule="auto"/>
        <w:ind w:right="0"/>
        <w:jc w:val="right"/>
        <w:textAlignment w:val="baseline"/>
        <w:rPr>
          <w:rFonts w:hint="default" w:ascii="Times New Roman" w:hAnsi="Times New Roman" w:cs="Times New Roman"/>
          <w:color w:val="auto"/>
          <w:spacing w:val="-15"/>
        </w:rPr>
      </w:pPr>
    </w:p>
    <w:p w14:paraId="20DCFC24">
      <w:pPr>
        <w:pStyle w:val="5"/>
        <w:spacing w:before="102" w:line="317" w:lineRule="auto"/>
        <w:ind w:right="1906"/>
        <w:jc w:val="right"/>
        <w:rPr>
          <w:rFonts w:hint="eastAsia" w:eastAsia="仿宋"/>
          <w:spacing w:val="2"/>
          <w:lang w:val="en-US" w:eastAsia="zh-CN"/>
        </w:rPr>
      </w:pPr>
      <w:r>
        <w:rPr>
          <w:spacing w:val="-15"/>
        </w:rPr>
        <w:t>执笔人：</w:t>
      </w:r>
      <w:r>
        <w:rPr>
          <w:rFonts w:hint="eastAsia"/>
          <w:spacing w:val="-15"/>
          <w:lang w:val="en-US" w:eastAsia="zh-CN"/>
        </w:rPr>
        <w:t>秦丽颖</w:t>
      </w:r>
    </w:p>
    <w:p w14:paraId="22F26B42">
      <w:pPr>
        <w:pStyle w:val="5"/>
        <w:spacing w:before="102" w:line="317" w:lineRule="auto"/>
        <w:ind w:right="1906"/>
        <w:jc w:val="right"/>
        <w:rPr>
          <w:rFonts w:hint="eastAsia" w:eastAsia="仿宋"/>
          <w:lang w:val="en-US" w:eastAsia="zh-CN"/>
        </w:rPr>
      </w:pPr>
      <w:r>
        <w:rPr>
          <w:rFonts w:hint="eastAsia"/>
          <w:spacing w:val="-21"/>
          <w:lang w:val="en-US" w:eastAsia="zh-CN"/>
        </w:rPr>
        <w:t xml:space="preserve">        </w:t>
      </w:r>
      <w:r>
        <w:rPr>
          <w:spacing w:val="-21"/>
        </w:rPr>
        <w:t>审核人：</w:t>
      </w:r>
      <w:r>
        <w:rPr>
          <w:rFonts w:hint="eastAsia"/>
          <w:spacing w:val="-21"/>
          <w:lang w:val="en-US" w:eastAsia="zh-CN"/>
        </w:rPr>
        <w:t>王  琳</w:t>
      </w:r>
    </w:p>
    <w:p w14:paraId="78EC63CC">
      <w:pPr>
        <w:pStyle w:val="5"/>
        <w:spacing w:before="33" w:line="227" w:lineRule="auto"/>
        <w:jc w:val="right"/>
      </w:pPr>
      <w:r>
        <w:rPr>
          <w:rFonts w:hint="eastAsia"/>
          <w:spacing w:val="-20"/>
          <w:lang w:val="en-US" w:eastAsia="zh-CN"/>
        </w:rPr>
        <w:t xml:space="preserve">        </w:t>
      </w:r>
      <w:r>
        <w:rPr>
          <w:spacing w:val="-20"/>
        </w:rPr>
        <w:t>制（修）订时间：</w:t>
      </w:r>
      <w:r>
        <w:rPr>
          <w:rFonts w:hint="eastAsia"/>
          <w:spacing w:val="97"/>
          <w:lang w:val="en-US" w:eastAsia="zh-CN"/>
        </w:rPr>
        <w:t>2026</w:t>
      </w:r>
      <w:r>
        <w:rPr>
          <w:spacing w:val="-20"/>
        </w:rPr>
        <w:t>年</w:t>
      </w:r>
      <w:r>
        <w:rPr>
          <w:rFonts w:hint="eastAsia"/>
          <w:spacing w:val="-20"/>
          <w:lang w:val="en-US" w:eastAsia="zh-CN"/>
        </w:rPr>
        <w:t xml:space="preserve"> </w:t>
      </w:r>
      <w:r>
        <w:rPr>
          <w:rFonts w:hint="eastAsia"/>
          <w:spacing w:val="97"/>
          <w:lang w:val="en-US" w:eastAsia="zh-CN"/>
        </w:rPr>
        <w:t>6</w:t>
      </w:r>
      <w:r>
        <w:rPr>
          <w:spacing w:val="-20"/>
        </w:rPr>
        <w:t>月</w:t>
      </w:r>
    </w:p>
    <w:p w14:paraId="5C832693">
      <w:pPr>
        <w:keepNext w:val="0"/>
        <w:keepLines w:val="0"/>
        <w:pageBreakBefore w:val="0"/>
        <w:kinsoku/>
        <w:wordWrap/>
        <w:topLinePunct w:val="0"/>
        <w:bidi w:val="0"/>
        <w:spacing w:before="101" w:line="230" w:lineRule="auto"/>
        <w:ind w:left="565"/>
        <w:rPr>
          <w:rFonts w:hint="default" w:ascii="Times New Roman" w:hAnsi="Times New Roman" w:eastAsia="黑体" w:cs="Times New Roman"/>
          <w:color w:val="auto"/>
          <w:spacing w:val="-4"/>
          <w:sz w:val="31"/>
          <w:szCs w:val="31"/>
        </w:rPr>
      </w:pPr>
    </w:p>
    <w:p w14:paraId="1EC5EE20">
      <w:pPr>
        <w:keepNext w:val="0"/>
        <w:keepLines w:val="0"/>
        <w:pageBreakBefore w:val="0"/>
        <w:kinsoku/>
        <w:wordWrap/>
        <w:topLinePunct w:val="0"/>
        <w:bidi w:val="0"/>
        <w:spacing w:before="101" w:line="230" w:lineRule="auto"/>
        <w:ind w:left="565"/>
        <w:rPr>
          <w:rFonts w:hint="default" w:ascii="Times New Roman" w:hAnsi="Times New Roman" w:eastAsia="黑体" w:cs="Times New Roman"/>
          <w:color w:val="auto"/>
          <w:spacing w:val="-4"/>
          <w:sz w:val="31"/>
          <w:szCs w:val="31"/>
        </w:rPr>
      </w:pPr>
    </w:p>
    <w:p w14:paraId="7B87AFF6">
      <w:pPr>
        <w:keepNext w:val="0"/>
        <w:keepLines w:val="0"/>
        <w:pageBreakBefore w:val="0"/>
        <w:kinsoku/>
        <w:wordWrap/>
        <w:topLinePunct w:val="0"/>
        <w:bidi w:val="0"/>
        <w:spacing w:before="101" w:line="230" w:lineRule="auto"/>
        <w:ind w:left="565"/>
        <w:rPr>
          <w:rFonts w:hint="default" w:ascii="Times New Roman" w:hAnsi="Times New Roman" w:eastAsia="黑体" w:cs="Times New Roman"/>
          <w:color w:val="auto"/>
          <w:spacing w:val="-4"/>
          <w:sz w:val="31"/>
          <w:szCs w:val="31"/>
        </w:rPr>
      </w:pPr>
    </w:p>
    <w:p w14:paraId="077B543E">
      <w:pPr>
        <w:keepNext w:val="0"/>
        <w:keepLines w:val="0"/>
        <w:pageBreakBefore w:val="0"/>
        <w:kinsoku/>
        <w:wordWrap/>
        <w:topLinePunct w:val="0"/>
        <w:bidi w:val="0"/>
        <w:spacing w:before="101" w:line="230" w:lineRule="auto"/>
        <w:ind w:left="565"/>
        <w:rPr>
          <w:rFonts w:hint="default" w:ascii="Times New Roman" w:hAnsi="Times New Roman" w:eastAsia="黑体" w:cs="Times New Roman"/>
          <w:color w:val="auto"/>
          <w:spacing w:val="-4"/>
          <w:sz w:val="31"/>
          <w:szCs w:val="31"/>
        </w:rPr>
      </w:pPr>
    </w:p>
    <w:p w14:paraId="213A0212">
      <w:pPr>
        <w:keepNext w:val="0"/>
        <w:keepLines w:val="0"/>
        <w:pageBreakBefore w:val="0"/>
        <w:kinsoku/>
        <w:wordWrap/>
        <w:topLinePunct w:val="0"/>
        <w:bidi w:val="0"/>
        <w:rPr>
          <w:rFonts w:hint="default" w:ascii="Times New Roman" w:hAnsi="Times New Roman" w:cs="Times New Roman"/>
          <w:color w:val="auto"/>
          <w:sz w:val="21"/>
        </w:rPr>
      </w:pPr>
    </w:p>
    <w:p w14:paraId="4135313C">
      <w:pPr>
        <w:rPr>
          <w:rFonts w:hint="default" w:ascii="Times New Roman" w:hAnsi="Times New Roman" w:cs="Times New Roman"/>
        </w:rPr>
      </w:pPr>
    </w:p>
    <w:sectPr>
      <w:footerReference r:id="rId8" w:type="default"/>
      <w:pgSz w:w="11906" w:h="16839"/>
      <w:pgMar w:top="1440" w:right="1080" w:bottom="1440" w:left="1080" w:header="0" w:footer="848"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320C">
    <w:pPr>
      <w:spacing w:line="177" w:lineRule="auto"/>
      <w:ind w:left="22"/>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4BBA">
    <w:pPr>
      <w:spacing w:before="1" w:line="176" w:lineRule="auto"/>
      <w:ind w:left="22"/>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FE4D">
    <w:pPr>
      <w:spacing w:before="1" w:line="176" w:lineRule="auto"/>
      <w:ind w:left="22"/>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68A2D">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68A2D">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034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05D97"/>
    <w:multiLevelType w:val="singleLevel"/>
    <w:tmpl w:val="C2605D97"/>
    <w:lvl w:ilvl="0" w:tentative="0">
      <w:start w:val="2"/>
      <w:numFmt w:val="decimal"/>
      <w:suff w:val="nothing"/>
      <w:lvlText w:val="（%1）"/>
      <w:lvlJc w:val="left"/>
    </w:lvl>
  </w:abstractNum>
  <w:abstractNum w:abstractNumId="1">
    <w:nsid w:val="C7DA7C10"/>
    <w:multiLevelType w:val="singleLevel"/>
    <w:tmpl w:val="C7DA7C10"/>
    <w:lvl w:ilvl="0" w:tentative="0">
      <w:start w:val="2"/>
      <w:numFmt w:val="decimal"/>
      <w:lvlText w:val="%1."/>
      <w:lvlJc w:val="left"/>
      <w:pPr>
        <w:tabs>
          <w:tab w:val="left" w:pos="312"/>
        </w:tabs>
      </w:pPr>
    </w:lvl>
  </w:abstractNum>
  <w:abstractNum w:abstractNumId="2">
    <w:nsid w:val="CD454B82"/>
    <w:multiLevelType w:val="singleLevel"/>
    <w:tmpl w:val="CD454B82"/>
    <w:lvl w:ilvl="0" w:tentative="0">
      <w:start w:val="1"/>
      <w:numFmt w:val="decimal"/>
      <w:lvlText w:val="%1."/>
      <w:lvlJc w:val="left"/>
      <w:pPr>
        <w:tabs>
          <w:tab w:val="left" w:pos="312"/>
        </w:tabs>
      </w:pPr>
    </w:lvl>
  </w:abstractNum>
  <w:abstractNum w:abstractNumId="3">
    <w:nsid w:val="D6726722"/>
    <w:multiLevelType w:val="singleLevel"/>
    <w:tmpl w:val="D6726722"/>
    <w:lvl w:ilvl="0" w:tentative="0">
      <w:start w:val="2"/>
      <w:numFmt w:val="chineseCounting"/>
      <w:suff w:val="nothing"/>
      <w:lvlText w:val="（%1）"/>
      <w:lvlJc w:val="left"/>
      <w:rPr>
        <w:rFonts w:hint="eastAsia"/>
      </w:rPr>
    </w:lvl>
  </w:abstractNum>
  <w:abstractNum w:abstractNumId="4">
    <w:nsid w:val="22D1DDF1"/>
    <w:multiLevelType w:val="singleLevel"/>
    <w:tmpl w:val="22D1DDF1"/>
    <w:lvl w:ilvl="0" w:tentative="0">
      <w:start w:val="4"/>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D6804"/>
    <w:rsid w:val="0046000C"/>
    <w:rsid w:val="01A24D8A"/>
    <w:rsid w:val="01D72B9E"/>
    <w:rsid w:val="05046B11"/>
    <w:rsid w:val="06591F56"/>
    <w:rsid w:val="07683CD5"/>
    <w:rsid w:val="0F0F14CB"/>
    <w:rsid w:val="0F1A24B5"/>
    <w:rsid w:val="1A533F79"/>
    <w:rsid w:val="1A7B3BAB"/>
    <w:rsid w:val="1D6A0633"/>
    <w:rsid w:val="1E7F0E72"/>
    <w:rsid w:val="1F6D256E"/>
    <w:rsid w:val="255B46D8"/>
    <w:rsid w:val="26217CFD"/>
    <w:rsid w:val="285F4B0C"/>
    <w:rsid w:val="297F5AD9"/>
    <w:rsid w:val="2F994DA8"/>
    <w:rsid w:val="36067DDC"/>
    <w:rsid w:val="393578A4"/>
    <w:rsid w:val="395F496C"/>
    <w:rsid w:val="397E43BD"/>
    <w:rsid w:val="408A0D8A"/>
    <w:rsid w:val="43160572"/>
    <w:rsid w:val="54447881"/>
    <w:rsid w:val="56693C7D"/>
    <w:rsid w:val="58FD089E"/>
    <w:rsid w:val="592C3C38"/>
    <w:rsid w:val="5B7867D7"/>
    <w:rsid w:val="5B8265DE"/>
    <w:rsid w:val="5BD91F04"/>
    <w:rsid w:val="5E7E0C7E"/>
    <w:rsid w:val="61C947C9"/>
    <w:rsid w:val="62CB42AF"/>
    <w:rsid w:val="63526223"/>
    <w:rsid w:val="640C55D8"/>
    <w:rsid w:val="68C63C87"/>
    <w:rsid w:val="68CD4D01"/>
    <w:rsid w:val="6A5E6976"/>
    <w:rsid w:val="758D193E"/>
    <w:rsid w:val="75F66805"/>
    <w:rsid w:val="7A884DCA"/>
    <w:rsid w:val="7D8D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ind w:firstLine="420" w:firstLineChars="200"/>
      <w:outlineLvl w:val="0"/>
    </w:pPr>
    <w:rPr>
      <w:rFonts w:ascii="Arial" w:hAnsi="Arial" w:eastAsia="黑体"/>
      <w:b/>
      <w:kern w:val="44"/>
      <w:sz w:val="2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
      <w:sz w:val="28"/>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0--3"/>
    <w:basedOn w:val="1"/>
    <w:qFormat/>
    <w:uiPriority w:val="0"/>
    <w:pPr>
      <w:spacing w:line="490" w:lineRule="exact"/>
      <w:ind w:firstLine="560" w:firstLineChars="200"/>
    </w:pPr>
    <w:rPr>
      <w:rFonts w:ascii="仿宋_GB2312" w:hAnsi="华文仿宋" w:eastAsia="仿宋_GB2312" w:cs="宋体"/>
      <w:sz w:val="28"/>
      <w:szCs w:val="28"/>
    </w:r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character" w:customStyle="1" w:styleId="14">
    <w:name w:val="font101"/>
    <w:basedOn w:val="10"/>
    <w:qFormat/>
    <w:uiPriority w:val="0"/>
    <w:rPr>
      <w:rFonts w:hint="eastAsia" w:ascii="宋体" w:hAnsi="宋体" w:eastAsia="宋体" w:cs="宋体"/>
      <w:b/>
      <w:bCs/>
      <w:color w:val="000000"/>
      <w:sz w:val="28"/>
      <w:szCs w:val="28"/>
      <w:u w:val="none"/>
    </w:rPr>
  </w:style>
  <w:style w:type="character" w:customStyle="1" w:styleId="15">
    <w:name w:val="font21"/>
    <w:basedOn w:val="10"/>
    <w:qFormat/>
    <w:uiPriority w:val="0"/>
    <w:rPr>
      <w:rFonts w:hint="default" w:ascii="Times New Roman" w:hAnsi="Times New Roman" w:cs="Times New Roman"/>
      <w:b/>
      <w:bCs/>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8"/>
      <w:szCs w:val="28"/>
      <w:u w:val="none"/>
    </w:rPr>
  </w:style>
  <w:style w:type="character" w:customStyle="1" w:styleId="17">
    <w:name w:val="font31"/>
    <w:basedOn w:val="10"/>
    <w:qFormat/>
    <w:uiPriority w:val="0"/>
    <w:rPr>
      <w:rFonts w:hint="default" w:ascii="Times New Roman" w:hAnsi="Times New Roman" w:cs="Times New Roman"/>
      <w:color w:val="000000"/>
      <w:sz w:val="28"/>
      <w:szCs w:val="28"/>
      <w:u w:val="none"/>
    </w:rPr>
  </w:style>
  <w:style w:type="character" w:customStyle="1" w:styleId="18">
    <w:name w:val="font111"/>
    <w:basedOn w:val="10"/>
    <w:qFormat/>
    <w:uiPriority w:val="0"/>
    <w:rPr>
      <w:rFonts w:hint="eastAsia" w:ascii="宋体" w:hAnsi="宋体" w:eastAsia="宋体" w:cs="宋体"/>
      <w:color w:val="000000"/>
      <w:sz w:val="28"/>
      <w:szCs w:val="28"/>
      <w:u w:val="none"/>
    </w:rPr>
  </w:style>
  <w:style w:type="character" w:customStyle="1" w:styleId="19">
    <w:name w:val="font51"/>
    <w:basedOn w:val="10"/>
    <w:qFormat/>
    <w:uiPriority w:val="0"/>
    <w:rPr>
      <w:rFonts w:hint="default" w:ascii="Times New Roman" w:hAnsi="Times New Roman" w:cs="Times New Roman"/>
      <w:color w:val="000000"/>
      <w:sz w:val="28"/>
      <w:szCs w:val="28"/>
      <w:u w:val="none"/>
    </w:rPr>
  </w:style>
  <w:style w:type="character" w:customStyle="1" w:styleId="20">
    <w:name w:val="font122"/>
    <w:basedOn w:val="10"/>
    <w:qFormat/>
    <w:uiPriority w:val="0"/>
    <w:rPr>
      <w:rFonts w:ascii="黑体" w:hAnsi="宋体" w:eastAsia="黑体" w:cs="黑体"/>
      <w:color w:val="000000"/>
      <w:sz w:val="28"/>
      <w:szCs w:val="28"/>
      <w:u w:val="none"/>
    </w:rPr>
  </w:style>
  <w:style w:type="character" w:customStyle="1" w:styleId="21">
    <w:name w:val="font131"/>
    <w:basedOn w:val="10"/>
    <w:qFormat/>
    <w:uiPriority w:val="0"/>
    <w:rPr>
      <w:rFonts w:ascii="华文仿宋" w:hAnsi="华文仿宋" w:eastAsia="华文仿宋" w:cs="华文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cf89563a-441e-4498-b66f-fd8825f2a98e</errorID>
      <errorWord>(</errorWord>
      <group>L1_Format</group>
      <groupName>格式问题</groupName>
      <ability>L2_HalfPunc</ability>
      <abilityName>全半角检查</abilityName>
      <candidateList>
        <item>（</item>
      </candidateList>
      <explain>文本全半角错误。</explain>
      <paraID>50C2733F</paraID>
      <start>6</start>
      <end>7</end>
      <status>modified</status>
      <modifiedWord>（</modifiedWord>
      <trackRevisions>false</trackRevisions>
    </reviewItem>
    <reviewItem>
      <errorID>c48d1646-25f0-4e04-bda3-0596c39eff9e</errorID>
      <errorWord>)</errorWord>
      <group>L1_Format</group>
      <groupName>格式问题</groupName>
      <ability>L2_HalfPunc</ability>
      <abilityName>全半角检查</abilityName>
      <candidateList>
        <item>）</item>
      </candidateList>
      <explain>文本全半角错误。</explain>
      <paraID>50C2733F</paraID>
      <start>9</start>
      <end>10</end>
      <status>modified</status>
      <modifiedWord>）</modifiedWord>
      <trackRevisions>false</trackRevisions>
    </reviewItem>
    <reviewItem>
      <errorID>0371cc07-3a48-4fdf-8812-1475ad856445</errorID>
      <errorWord>(</errorWord>
      <group>L1_Format</group>
      <groupName>格式问题</groupName>
      <ability>L2_HalfPunc</ability>
      <abilityName>全半角检查</abilityName>
      <candidateList>
        <item>（</item>
      </candidateList>
      <explain>文本全半角错误。</explain>
      <paraID>328EFD04</paraID>
      <start>5</start>
      <end>6</end>
      <status>modified</status>
      <modifiedWord>（</modifiedWord>
      <trackRevisions>false</trackRevisions>
    </reviewItem>
    <reviewItem>
      <errorID>541bad02-328a-4837-9f1e-ae7c0590c96a</errorID>
      <errorWord>)</errorWord>
      <group>L1_Format</group>
      <groupName>格式问题</groupName>
      <ability>L2_HalfPunc</ability>
      <abilityName>全半角检查</abilityName>
      <candidateList>
        <item>）</item>
      </candidateList>
      <explain>文本全半角错误。</explain>
      <paraID>328EFD04</paraID>
      <start>8</start>
      <end>9</end>
      <status>modified</status>
      <modifiedWord>）</modifiedWord>
      <trackRevisions>false</trackRevisions>
    </reviewItem>
    <reviewItem>
      <errorID>16e2336c-6fe7-4c1b-aa14-37b102124039</errorID>
      <errorWord>(</errorWord>
      <group>L1_Format</group>
      <groupName>格式问题</groupName>
      <ability>L2_HalfPunc</ability>
      <abilityName>全半角检查</abilityName>
      <candidateList>
        <item>（</item>
      </candidateList>
      <explain>文本全半角错误。</explain>
      <paraID>33B80173</paraID>
      <start>4</start>
      <end>5</end>
      <status>modified</status>
      <modifiedWord>（</modifiedWord>
      <trackRevisions>false</trackRevisions>
    </reviewItem>
    <reviewItem>
      <errorID>833e8aa2-9410-4ba9-b5bd-2d166cd0d956</errorID>
      <errorWord>)</errorWord>
      <group>L1_Format</group>
      <groupName>格式问题</groupName>
      <ability>L2_HalfPunc</ability>
      <abilityName>全半角检查</abilityName>
      <candidateList>
        <item>）</item>
      </candidateList>
      <explain>文本全半角错误。</explain>
      <paraID>33B80173</paraID>
      <start>7</start>
      <end>8</end>
      <status>modified</status>
      <modifiedWord>）</modifiedWord>
      <trackRevisions>false</trackRevisions>
    </reviewItem>
    <reviewItem>
      <errorID>7607b869-820b-4a6f-8367-8a010c1f9878</errorID>
      <errorWord>(</errorWord>
      <group>L1_Format</group>
      <groupName>格式问题</groupName>
      <ability>L2_HalfPunc</ability>
      <abilityName>全半角检查</abilityName>
      <candidateList>
        <item>（</item>
      </candidateList>
      <explain>文本全半角错误。</explain>
      <paraID>2F064BCA</paraID>
      <start>6</start>
      <end>7</end>
      <status>modified</status>
      <modifiedWord>（</modifiedWord>
      <trackRevisions>false</trackRevisions>
    </reviewItem>
    <reviewItem>
      <errorID>8a495369-66df-463d-8998-5b503c2a75dd</errorID>
      <errorWord>)</errorWord>
      <group>L1_Format</group>
      <groupName>格式问题</groupName>
      <ability>L2_HalfPunc</ability>
      <abilityName>全半角检查</abilityName>
      <candidateList>
        <item>）</item>
      </candidateList>
      <explain>文本全半角错误。</explain>
      <paraID>2F064BCA</paraID>
      <start>9</start>
      <end>10</end>
      <status>modified</status>
      <modifiedWord>）</modifiedWord>
      <trackRevisions>false</trackRevisions>
    </reviewItem>
    <reviewItem>
      <errorID>07784ac6-73e0-442f-a674-c13346fd6a0b</errorID>
      <errorWord>(</errorWord>
      <group>L1_Format</group>
      <groupName>格式问题</groupName>
      <ability>L2_HalfPunc</ability>
      <abilityName>全半角检查</abilityName>
      <candidateList>
        <item>（</item>
      </candidateList>
      <explain>文本全半角错误。</explain>
      <paraID>2C092357</paraID>
      <start>4</start>
      <end>5</end>
      <status>modified</status>
      <modifiedWord>（</modifiedWord>
      <trackRevisions>false</trackRevisions>
    </reviewItem>
    <reviewItem>
      <errorID>d204a567-e3d4-45c5-a417-24c8d9ebacdd</errorID>
      <errorWord>)</errorWord>
      <group>L1_Format</group>
      <groupName>格式问题</groupName>
      <ability>L2_HalfPunc</ability>
      <abilityName>全半角检查</abilityName>
      <candidateList>
        <item>）</item>
      </candidateList>
      <explain>文本全半角错误。</explain>
      <paraID>2C092357</paraID>
      <start>6</start>
      <end>7</end>
      <status>modified</status>
      <modifiedWord>）</modifiedWord>
      <trackRevisions>false</trackRevisions>
    </reviewItem>
    <reviewItem>
      <errorID>9cae0a8c-a4a7-4222-84bf-f2f98c333e17</errorID>
      <errorWord>，</errorWord>
      <group>L1_Word</group>
      <groupName>字词问题</groupName>
      <ability>L2_Typo</ability>
      <abilityName>字词错误</abilityName>
      <candidateList>
        <item>，具</item>
      </candidateList>
      <explain/>
      <paraID>5E0C714F</paraID>
      <start>18</start>
      <end>20</end>
      <status>modified</status>
      <modifiedWord>，具</modifiedWord>
      <trackRevisions>false</trackRevisions>
    </reviewItem>
    <reviewItem>
      <errorID>a64895c7-7c60-42dd-b8d0-a9bfa966c292</errorID>
      <errorWord>世界观、人生观价值观</errorWord>
      <group>L1_Political</group>
      <groupName>政治性问题</groupName>
      <ability>L2_Keyword</ability>
      <abilityName>固定表述</abilityName>
      <candidateList>
        <item>世界观、人生观、价值观</item>
      </candidateList>
      <explain>注意检查当前固定表述标点是否使用规范。</explain>
      <paraID> 59A0000</paraID>
      <start>10</start>
      <end>21</end>
      <status>modified</status>
      <modifiedWord>世界观、人生观、价值观</modifiedWord>
      <trackRevisions>false</trackRevisions>
    </reviewItem>
    <reviewItem>
      <errorID>fe10ac21-95f7-405f-b926-e6d3209102e8</errorID>
      <errorWord>培育和践行社会主义核心价值 观</errorWord>
      <group>L1_Political</group>
      <groupName>政治性问题</groupName>
      <ability>L2_Keyword</ability>
      <abilityName>固定表述</abilityName>
      <candidateList>
        <item>培育和践行社会主义核心价值观</item>
      </candidateList>
      <explain>词汇“培育和践行社会主义核心价值观”在特定场景下为固定表述形式，请确认此处的“培育和践行社会主义核心价值 观”是否存在不当。</explain>
      <paraID> F903266</paraID>
      <start>33</start>
      <end>47</end>
      <status>modified</status>
      <modifiedWord>培育和践行社会主义核心价值观</modifiedWord>
      <trackRevisions>false</trackRevisions>
    </reviewItem>
    <reviewItem>
      <errorID>555b2bff-c081-495a-9e6f-f771355d28de</errorID>
      <errorWord>担当民族复兴大任时代新人的</errorWord>
      <group>L1_Political</group>
      <groupName>政治性问题</groupName>
      <ability>L2_Keyword</ability>
      <abilityName>固定表述</abilityName>
      <candidateList>
        <item>担当民族复兴大任的时代新人</item>
      </candidateList>
      <explain>词汇“担当民族复兴大任的时代新人”在特定场景下为固定表述形式，请确认此处的“担当民族复兴大任时代新人的”是否存在不当。</explain>
      <paraID>41FACFC2</paraID>
      <start>7</start>
      <end>20</end>
      <status>modified</status>
      <modifiedWord>担当民族复兴大任的时代新人</modifiedWord>
      <trackRevisions>false</trackRevisions>
    </reviewItem>
    <reviewItem>
      <errorID>2fcf0256-b2c0-459b-955d-27f1ead25b37</errorID>
      <errorWord>担当复兴大任的时代新人</errorWord>
      <group>L1_Political</group>
      <groupName>政治性问题</groupName>
      <ability>L2_Keyword</ability>
      <abilityName>固定表述</abilityName>
      <candidateList>
        <item>担当民族复兴大任的时代新人</item>
      </candidateList>
      <explain>词汇“担当民族复兴大任的时代新人”在特定场景下为固定表述形式，请确认此处的“担当复兴大任的时代新人”是否存在不当。</explain>
      <paraID>12D20B74</paraID>
      <start>76</start>
      <end>89</end>
      <status>modified</status>
      <modifiedWord>担当民族复兴大任的时代新人</modifiedWord>
      <trackRevisions>false</trackRevisions>
    </reviewItem>
    <reviewItem>
      <errorID>317f8034-4662-47f2-97e1-58fb00e69e37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75E21369</paraID>
      <start>110</start>
      <end>111</end>
      <status>unmodified</status>
      <modifiedWord/>
      <trackRevisions>false</trackRevisions>
    </reviewItem>
    <reviewItem>
      <errorID>a53dfe89-f18e-46b1-9c23-d6568ed7f6d1</errorID>
      <errorWord>马克思主义理 论</errorWord>
      <group>L1_Political</group>
      <groupName>政治性问题</groupName>
      <ability>L2_Keyword</ability>
      <abilityName>固定表述</abilityName>
      <candidateList>
        <item>马克思主义理论</item>
      </candidateList>
      <explain>词汇“马克思主义理论”在特定场景下为固定表述形式，请确认此处的“马克思主义理 论”是否存在不当。</explain>
      <paraID>12E268B3</paraID>
      <start>7</start>
      <end>14</end>
      <status>modified</status>
      <modifiedWord>马克思主义理论</modifiedWord>
      <trackRevisions>false</trackRevisions>
    </reviewItem>
    <reviewItem>
      <errorID>afb072e2-2190-414e-b27b-a1bf5c520908</errorID>
      <errorWord>践</errorWord>
      <group>L1_Word</group>
      <groupName>字词问题</groupName>
      <ability>L2_Typo</ability>
      <abilityName>字词错误</abilityName>
      <candidateList>
        <item>践中</item>
      </candidateList>
      <explain/>
      <paraID>5B1D4D2F</paraID>
      <start>78</start>
      <end>80</end>
      <status>modified</status>
      <modifiedWord>践中</modifiedWord>
      <trackRevisions>false</trackRevisions>
    </reviewItem>
    <reviewItem>
      <errorID>fdd132d1-8810-4a01-b43a-882ff4306795</errorID>
      <errorWord>四个意识</errorWord>
      <group>L1_Political</group>
      <groupName>政治性问题</groupName>
      <ability>L2_Keyword</ability>
      <abilityName>固定表述</abilityName>
      <candidateList>
        <item>‘四个意识’</item>
      </candidateList>
      <explain>注意检查当前固定表述标点是否使用规范。</explain>
      <paraID>4D60F74E</paraID>
      <start>31</start>
      <end>35</end>
      <status>ignored</status>
      <modifiedWord/>
      <trackRevisions>false</trackRevisions>
    </reviewItem>
    <reviewItem>
      <errorID>3c85cf97-e80d-471c-835f-959a3980254c</errorID>
      <errorWord>特色社会主义思想作为</errorWord>
      <group>L1_Word</group>
      <groupName>字词问题</groupName>
      <ability>L2_Typo</ability>
      <abilityName>字词错误</abilityName>
      <candidateList>
        <item>特色社会主义思想为</item>
      </candidateList>
      <explain/>
      <paraID>5319CA1D</paraID>
      <start>60</start>
      <end>69</end>
      <status>modified</status>
      <modifiedWord>特色社会主义思想为</modifiedWord>
      <trackRevisions>false</trackRevisions>
    </reviewItem>
    <reviewItem>
      <errorID>cbc12672-0d46-4c32-8288-25d02465756b</errorID>
      <errorWord>习近平新时代中 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词汇“习近平新时代中国特色社会主义思想”在特定场景下为固定表述形式，请确认此处的“习近平新时代中 国特色社会主义思想”是否存在不当。</explain>
      <paraID>2B6F6A71</paraID>
      <start>5</start>
      <end>21</end>
      <status>modified</status>
      <modifiedWord>习近平新时代中国特色社会主义思想</modifiedWord>
      <trackRevisions>false</trackRevisions>
    </reviewItem>
    <reviewItem>
      <errorID>a7ea78aa-0b89-4329-a4ba-6ded8fe5cbaf</errorID>
      <errorWord>社会主义现代化 强国</errorWord>
      <group>L1_Political</group>
      <groupName>政治性问题</groupName>
      <ability>L2_Keyword</ability>
      <abilityName>固定表述</abilityName>
      <candidateList>
        <item>社会主义现代化强国</item>
      </candidateList>
      <explain>词汇“社会主义现代化强国”在特定场景下为固定表述形式，请确认此处的“社会主义现代化 强国”是否存在不当。</explain>
      <paraID>2B6F6A71</paraID>
      <start>38</start>
      <end>47</end>
      <status>modified</status>
      <modifiedWord>社会主义现代化强国</modifiedWord>
      <trackRevisions>false</trackRevisions>
    </reviewItem>
    <reviewItem>
      <errorID>770d3ca2-c0d7-455c-b1a5-aae651c69d7c</errorID>
      <errorWord>树立“四个意识”</errorWord>
      <group>L1_Word</group>
      <groupName>字词问题</groupName>
      <ability>L2_Typo</ability>
      <abilityName>字词错误</abilityName>
      <candidateList>
        <item>增强“四个意识”</item>
      </candidateList>
      <explain/>
      <paraID>571E72FB</paraID>
      <start>13</start>
      <end>21</end>
      <status>modified</status>
      <modifiedWord>增强“四个意识”</modifiedWord>
      <trackRevisions>false</trackRevisions>
    </reviewItem>
    <reviewItem>
      <errorID>79898d0d-92cb-48ae-a2bc-5ca8d5f401bb</errorID>
      <errorWord>教育、科技人才</errorWord>
      <group>L1_Political</group>
      <groupName>政治性问题</groupName>
      <ability>L2_Keyword</ability>
      <abilityName>固定表述</abilityName>
      <candidateList>
        <item>教育、科技、人才</item>
      </candidateList>
      <explain>词汇“教育、科技、人才”在特定场景下为固定表述形式，请确认此处的“教育、科技人才”是否存在不当。</explain>
      <paraID>510CE610</paraID>
      <start>104</start>
      <end>112</end>
      <status>modified</status>
      <modifiedWord>教育、科技、人才</modifiedWord>
      <trackRevisions>false</trackRevisions>
    </reviewItem>
    <reviewItem>
      <errorID>9a2ef2fe-be94-44b1-933e-980c9fbddf7d</errorID>
      <errorWord>党的路线方针和政策</errorWord>
      <group>L1_Political</group>
      <groupName>政治性问题</groupName>
      <ability>L2_Keyword</ability>
      <abilityName>固定表述</abilityName>
      <candidateList>
        <item>党的路线方针政策</item>
      </candidateList>
      <explain>词汇“党的路线方针政策”在特定场景下为固定表述形式，请确认此处的“党的路线方针和政策”是否存在不当。</explain>
      <paraID>7C9CB835</paraID>
      <start>30</start>
      <end>38</end>
      <status>modified</status>
      <modifiedWord>党的路线方针政策</modifiedWord>
      <trackRevisions>false</trackRevisions>
    </reviewItem>
    <reviewItem>
      <errorID>9b699b2c-b7cd-41f5-bedb-7d4125b3e7fa</errorID>
      <errorWord>法</errorWord>
      <group>L1_Word</group>
      <groupName>字词问题</groupName>
      <ability>L2_Typo</ability>
      <abilityName>字词错误</abilityName>
      <candidateList>
        <item>法和</item>
      </candidateList>
      <explain/>
      <paraID> F6000FE</paraID>
      <start>81</start>
      <end>83</end>
      <status>modified</status>
      <modifiedWord>法和</modifiedWord>
      <trackRevisions>false</trackRevisions>
    </reviewItem>
    <reviewItem>
      <errorID>0c650f14-44d4-432f-bc37-bd848f2d304f</errorID>
      <errorWord>以中国式现代化推进强国建设</errorWord>
      <group>L1_Political</group>
      <groupName>政治性问题</groupName>
      <ability>L2_Keyword</ability>
      <abilityName>固定表述</abilityName>
      <candidateList>
        <item>以中国式现代化全面推进强国建设</item>
      </candidateList>
      <explain>词汇“以中国式现代化全面推进强国建设”在特定场景下为固定表述形式，请确认此处的“以中国式现代化推进强国建设”是否存在不当。</explain>
      <paraID>6BA63CB2</paraID>
      <start>92</start>
      <end>107</end>
      <status>modified</status>
      <modifiedWord>以中国式现代化全面推进强国建设</modifiedWord>
      <trackRevisions>false</trackRevisions>
    </reviewItem>
    <reviewItem>
      <errorID>d400da6f-9294-4e98-a5c5-d49e22ef5c35</errorID>
      <errorWord>统筹发展与安全</errorWord>
      <group>L1_Political</group>
      <groupName>政治性问题</groupName>
      <ability>L2_Unpolitical</ability>
      <abilityName>政治敏感错误</abilityName>
      <candidateList>
        <item>统筹发展和安全</item>
      </candidateList>
      <explain/>
      <paraID>303CFDB5</paraID>
      <start>137</start>
      <end>144</end>
      <status>modified</status>
      <modifiedWord>统筹发展和安全</modifiedWord>
      <trackRevisions>false</trackRevisions>
    </reviewItem>
    <reviewItem>
      <errorID>4aea3866-6c7a-4cbf-9617-71c82c313d3f</errorID>
      <errorWord>中国民族大家庭</errorWord>
      <group>L1_Political</group>
      <groupName>政治性问题</groupName>
      <ability>L2_Keyword</ability>
      <abilityName>固定表述</abilityName>
      <candidateList>
        <item>中华民族大家庭</item>
      </candidateList>
      <explain>词汇“中华民族大家庭”在特定场景下为固定表述形式，请确认此处的“中国民族大家庭”是否存在不当。</explain>
      <paraID> 3C4AF4F</paraID>
      <start>159</start>
      <end>166</end>
      <status>modified</status>
      <modifiedWord>中华民族大家庭</modifiedWord>
      <trackRevisions>false</trackRevisions>
    </reviewItem>
    <reviewItem>
      <errorID>b0a5f54c-66fc-419a-8d3f-d8103da3e8f3</errorID>
      <errorWord>和</errorWord>
      <group>L1_Word</group>
      <groupName>字词问题</groupName>
      <ability>L2_Typo</ability>
      <abilityName>字词错误</abilityName>
      <candidateList>
        <item>和以</item>
      </candidateList>
      <explain/>
      <paraID>131E5423</paraID>
      <start>110</start>
      <end>112</end>
      <status>modified</status>
      <modifiedWord>和以</modifiedWord>
      <trackRevisions>false</trackRevisions>
    </reviewItem>
    <reviewItem>
      <errorID>cef07418-7014-4b90-bd06-c96d5b21b233</errorID>
      <errorWord>;</errorWord>
      <group>L1_Format</group>
      <groupName>格式问题</groupName>
      <ability>L2_HalfPunc</ability>
      <abilityName>全半角检查</abilityName>
      <candidateList>
        <item>；</item>
      </candidateList>
      <explain>文本全半角错误。</explain>
      <paraID> D1DA2F9</paraID>
      <start>69</start>
      <end>70</end>
      <status>modified</status>
      <modifiedWord>；</modifiedWord>
      <trackRevisions>false</trackRevisions>
    </reviewItem>
    <reviewItem>
      <errorID>e1e77ffb-0def-4ae8-8000-4d1c8ee4bd42</errorID>
      <errorWord>;</errorWord>
      <group>L1_Format</group>
      <groupName>格式问题</groupName>
      <ability>L2_HalfPunc</ability>
      <abilityName>全半角检查</abilityName>
      <candidateList>
        <item>；</item>
      </candidateList>
      <explain>文本全半角错误。</explain>
      <paraID> D1DA2F9</paraID>
      <start>84</start>
      <end>85</end>
      <status>modified</status>
      <modifiedWord>；</modifiedWord>
      <trackRevisions>false</trackRevisions>
    </reviewItem>
    <reviewItem>
      <errorID>a65cd264-0aa7-4622-bbf1-128b89da2658</errorID>
      <errorWord>提高</errorWord>
      <group>L1_Grammar</group>
      <groupName>语法问题</groupName>
      <ability>L2_Grammar</ability>
      <abilityName>语法错误</abilityName>
      <candidateList>
        <item>增强</item>
      </candidateList>
      <explain>“提高～意识”搭配不当，建议修改为“增强～意识”。</explain>
      <paraID>7B24D955</paraID>
      <start>39</start>
      <end>41</end>
      <status>modified</status>
      <modifiedWord>增强</modifiedWord>
      <trackRevisions>false</trackRevisions>
    </reviewItem>
    <reviewItem>
      <errorID>0b244184-ef34-40fd-b4df-0a3ec11ae887</errorID>
      <errorWord>;</errorWord>
      <group>L1_Format</group>
      <groupName>格式问题</groupName>
      <ability>L2_HalfPunc</ability>
      <abilityName>全半角检查</abilityName>
      <candidateList>
        <item>；</item>
      </candidateList>
      <explain>文本全半角错误。</explain>
      <paraID>7B24D955</paraID>
      <start>47</start>
      <end>48</end>
      <status>modified</status>
      <modifiedWord>；</modifiedWord>
      <trackRevisions>false</trackRevisions>
    </reviewItem>
    <reviewItem>
      <errorID>e7a09a77-ef8c-44fa-9bd3-ea4e3ba64ee4</errorID>
      <errorWord>;</errorWord>
      <group>L1_Format</group>
      <groupName>格式问题</groupName>
      <ability>L2_HalfPunc</ability>
      <abilityName>全半角检查</abilityName>
      <candidateList>
        <item>；</item>
      </candidateList>
      <explain>文本全半角错误。</explain>
      <paraID>7B24D955</paraID>
      <start>64</start>
      <end>65</end>
      <status>modified</status>
      <modifiedWord>；</modifiedWord>
      <trackRevisions>false</trackRevisions>
    </reviewItem>
    <reviewItem>
      <errorID>91717aa7-292b-4a6f-8e60-24ae692b2a0a</errorID>
      <errorWord>的行</errorWord>
      <group>L1_Word</group>
      <groupName>字词问题</groupName>
      <ability>L2_Typo</ability>
      <abilityName>字词错误</abilityName>
      <candidateList>
        <item>的</item>
      </candidateList>
      <explain>“的”常用于连接修饰语与名词性中心语，表示属性、所属或描述。</explain>
      <paraID>7B24D955</paraID>
      <start>69</start>
      <end>70</end>
      <status>modified</status>
      <modifiedWord>的</modifiedWord>
      <trackRevisions>false</trackRevisions>
    </reviewItem>
    <reviewItem>
      <errorID>d2d74e91-7742-47a0-a689-c22b584815f0</errorID>
      <errorWord>学生将</errorWord>
      <group>L1_Word</group>
      <groupName>字词问题</groupName>
      <ability>L2_Typo</ability>
      <abilityName>字词错误</abilityName>
      <candidateList>
        <item>学生</item>
      </candidateList>
      <explain/>
      <paraID>7B24D955</paraID>
      <start>80</start>
      <end>82</end>
      <status>modified</status>
      <modifiedWord>学生</modifiedWord>
      <trackRevisions>false</trackRevisions>
    </reviewItem>
    <reviewItem>
      <errorID>a7113bc9-a34e-494a-a094-a40b8d95457e</errorID>
      <errorWord>;</errorWord>
      <group>L1_Format</group>
      <groupName>格式问题</groupName>
      <ability>L2_HalfPunc</ability>
      <abilityName>全半角检查</abilityName>
      <candidateList>
        <item>；</item>
      </candidateList>
      <explain>文本全半角错误。</explain>
      <paraID>7B24D955</paraID>
      <start>111</start>
      <end>112</end>
      <status>modified</status>
      <modifiedWord>；</modifiedWord>
      <trackRevisions>false</trackRevisions>
    </reviewItem>
    <reviewItem>
      <errorID>b287cda7-6819-438a-8d3d-548544e3fbce</errorID>
      <errorWord>;</errorWord>
      <group>L1_Format</group>
      <groupName>格式问题</groupName>
      <ability>L2_HalfPunc</ability>
      <abilityName>全半角检查</abilityName>
      <candidateList>
        <item>；</item>
      </candidateList>
      <explain>文本全半角错误。</explain>
      <paraID>7B24D955</paraID>
      <start>151</start>
      <end>152</end>
      <status>modified</status>
      <modifiedWord>；</modifiedWord>
      <trackRevisions>false</trackRevisions>
    </reviewItem>
    <reviewItem>
      <errorID>1492e26b-ed09-491d-9ae5-e505ba812b61</errorID>
      <errorWord>学生将</errorWord>
      <group>L1_Word</group>
      <groupName>字词问题</groupName>
      <ability>L2_Typo</ability>
      <abilityName>字词错误</abilityName>
      <candidateList>
        <item>学生</item>
      </candidateList>
      <explain/>
      <paraID>7B24D955</paraID>
      <start>210</start>
      <end>212</end>
      <status>modified</status>
      <modifiedWord>学生</modifiedWord>
      <trackRevisions>false</trackRevisions>
    </reviewItem>
    <reviewItem>
      <errorID>33d69af1-309a-4f47-883b-deeb0738668f</errorID>
      <errorWord>;</errorWord>
      <group>L1_Format</group>
      <groupName>格式问题</groupName>
      <ability>L2_HalfPunc</ability>
      <abilityName>全半角检查</abilityName>
      <candidateList>
        <item>；</item>
      </candidateList>
      <explain>文本全半角错误。</explain>
      <paraID>7B24D955</paraID>
      <start>245</start>
      <end>246</end>
      <status>modified</status>
      <modifiedWord>；</modifiedWord>
      <trackRevisions>false</trackRevisions>
    </reviewItem>
    <reviewItem>
      <errorID>4424205a-3c22-49ea-be81-6dc356684e28</errorID>
      <errorWord>集体主义、社会主义、爱国主义</errorWord>
      <group>L1_Political</group>
      <groupName>政治性问题</groupName>
      <ability>L2_Keyword</ability>
      <abilityName>固定表述</abilityName>
      <candidateList>
        <item>爱国主义、集体主义、社会主义</item>
      </candidateList>
      <explain>词汇“爱国主义、集体主义、社会主义”在特定场景下为固定表述形式，请确认此处的“集体主义、社会主义、爱国主义”是否存在不当。</explain>
      <paraID>7B24D955</paraID>
      <start>284</start>
      <end>298</end>
      <status>modified</status>
      <modifiedWord>爱国主义、集体主义、社会主义</modifiedWord>
      <trackRevisions>false</trackRevisions>
    </reviewItem>
    <reviewItem>
      <errorID>20a13d60-0ae4-42d1-9f46-303d76bbce52</errorID>
      <errorWord>;</errorWord>
      <group>L1_Format</group>
      <groupName>格式问题</groupName>
      <ability>L2_HalfPunc</ability>
      <abilityName>全半角检查</abilityName>
      <candidateList>
        <item>；</item>
      </candidateList>
      <explain>文本全半角错误。</explain>
      <paraID>7B24D955</paraID>
      <start>368</start>
      <end>369</end>
      <status>modified</status>
      <modifiedWord>；</modifiedWord>
      <trackRevisions>false</trackRevisions>
    </reviewItem>
    <reviewItem>
      <errorID>63385598-cad2-4f95-a0df-cf7cb2d26a16</errorID>
      <errorWord>;</errorWord>
      <group>L1_Format</group>
      <groupName>格式问题</groupName>
      <ability>L2_HalfPunc</ability>
      <abilityName>全半角检查</abilityName>
      <candidateList>
        <item>；</item>
      </candidateList>
      <explain>文本全半角错误。</explain>
      <paraID>7B24D955</paraID>
      <start>431</start>
      <end>432</end>
      <status>modified</status>
      <modifiedWord>；</modifiedWord>
      <trackRevisions>false</trackRevisions>
    </reviewItem>
    <reviewItem>
      <errorID>551c850e-f267-4a85-9c04-569378ca8376</errorID>
      <errorWord>讲述中国故事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词汇“讲好中国故事”在特定场景下为固定表述形式，请确认此处的“讲述中国故事”是否存在不当。</explain>
      <paraID>4186A135</paraID>
      <start>95</start>
      <end>101</end>
      <status>modified</status>
      <modifiedWord>讲好中国故事</modifiedWord>
      <trackRevisions>false</trackRevisions>
    </reviewItem>
    <reviewItem>
      <errorID>1de9a780-ce1a-4076-8876-c712887030f9</errorID>
      <errorWord>文化中</errorWord>
      <group>L1_Word</group>
      <groupName>字词问题</groupName>
      <ability>L2_Typo</ability>
      <abilityName>字词错误</abilityName>
      <candidateList>
        <item>文化</item>
      </candidateList>
      <explain/>
      <paraID>69A524A6</paraID>
      <start>33</start>
      <end>35</end>
      <status>modified</status>
      <modifiedWord>文化</modifiedWord>
      <trackRevisions>false</trackRevisions>
    </reviewItem>
    <reviewItem>
      <errorID>648d802d-80a0-45d5-8bb4-dfb414098895</errorID>
      <errorWord>生</errorWord>
      <group>L1_Word</group>
      <groupName>字词问题</groupName>
      <ability>L2_Typo</ability>
      <abilityName>字词错误</abilityName>
      <candidateList>
        <item>生在</item>
      </candidateList>
      <explain/>
      <paraID>30C329B9</paraID>
      <start>136</start>
      <end>138</end>
      <status>modified</status>
      <modifiedWord>生在</modifiedWord>
      <trackRevisions>false</trackRevisions>
    </reviewItem>
    <reviewItem>
      <errorID>ec0a9078-391c-4a9e-891d-6dfbfca0b0f4</errorID>
      <errorWord>调试</errorWord>
      <group>L1_Word</group>
      <groupName>字词问题</groupName>
      <ability>L2_Typo</ability>
      <abilityName>字词错误</abilityName>
      <candidateList>
        <item>调适</item>
      </candidateList>
      <explain/>
      <paraID>3CE89131</paraID>
      <start>42</start>
      <end>44</end>
      <status>modified</status>
      <modifiedWord>调适</modifiedWord>
      <trackRevisions>false</trackRevisions>
    </reviewItem>
    <reviewItem>
      <errorID>2ec767d4-b903-4dd0-992f-164829c46db6</errorID>
      <errorWord>好</errorWord>
      <group>L1_Word</group>
      <groupName>字词问题</groupName>
      <ability>L2_Typo</ability>
      <abilityName>字词错误</abilityName>
      <candidateList>
        <item>好地</item>
      </candidateList>
      <explain/>
      <paraID>5110C4EA</paraID>
      <start>51</start>
      <end>53</end>
      <status>modified</status>
      <modifiedWord>好地</modifiedWord>
      <trackRevisions>false</trackRevisions>
    </reviewItem>
    <reviewItem>
      <errorID>4df4da00-fd66-4c42-ba57-43849df2e65d</errorID>
      <errorWord>获</errorWord>
      <group>L1_Word</group>
      <groupName>字词问题</groupName>
      <ability>L2_Typo</ability>
      <abilityName>字词错误</abilityName>
      <candidateList>
        <item>获得</item>
      </candidateList>
      <explain>〈动〉取得；得到（多用于抽象事物）：～好评｜～宝贵的经验｜～显著的成绩。</explain>
      <paraID>79381E2A</paraID>
      <start>37</start>
      <end>39</end>
      <status>modified</status>
      <modifiedWord>获得</modifiedWord>
      <trackRevisions>false</trackRevisions>
    </reviewItem>
    <reviewItem>
      <errorID>2ae28b8a-96f5-4a98-81a9-7461896b1a42</errorID>
      <errorWord>法</errorWord>
      <group>L1_Word</group>
      <groupName>字词问题</groupName>
      <ability>L2_Typo</ability>
      <abilityName>字词错误</abilityName>
      <candidateList>
        <item>法和</item>
      </candidateList>
      <explain/>
      <paraID>4E1CB755</paraID>
      <start>16</start>
      <end>18</end>
      <status>modified</status>
      <modifiedWord>法和</modifiedWord>
      <trackRevisions>false</trackRevisions>
    </reviewItem>
    <reviewItem>
      <errorID>7b36b50e-2034-4b75-8aca-88d256b12d62</errorID>
      <errorWord>和持续发展</errorWord>
      <group>L1_Word</group>
      <groupName>字词问题</groupName>
      <ability>L2_Typo</ability>
      <abilityName>字词错误</abilityName>
      <candidateList>
        <item>和可持续发展</item>
      </candidateList>
      <explain/>
      <paraID>76371093</paraID>
      <start>73</start>
      <end>79</end>
      <status>modified</status>
      <modifiedWord>和可持续发展</modifiedWord>
      <trackRevisions>false</trackRevisions>
    </reviewItem>
    <reviewItem>
      <errorID>35669a4a-6e09-422b-902f-d379dd22927e</errorID>
      <errorWord>基本慨念</errorWord>
      <group>L1_Word</group>
      <groupName>字词问题</groupName>
      <ability>L2_Typo</ability>
      <abilityName>字词错误</abilityName>
      <candidateList>
        <item>基本概念</item>
      </candidateList>
      <explain/>
      <paraID>711828E5</paraID>
      <start>21</start>
      <end>25</end>
      <status>modified</status>
      <modifiedWord>基本概念</modifiedWord>
      <trackRevisions>false</trackRevisions>
    </reviewItem>
    <reviewItem>
      <errorID>3fd5d9c5-1c91-4e9a-8c3f-a59792ad556e</errorID>
      <errorWord>辨证</errorWord>
      <group>L1_Word</group>
      <groupName>字词问题</groupName>
      <ability>L2_Typo</ability>
      <abilityName>字词错误</abilityName>
      <candidateList>
        <item>辩证</item>
      </candidateList>
      <explain>❶〈动〉辨析考证：反复～。也作辨证。❷〈形〉合乎辩证法的：～关系｜～的统一。</explain>
      <paraID>3F3604D2</paraID>
      <start>18</start>
      <end>20</end>
      <status>ignored</status>
      <modifiedWord/>
      <trackRevisions>false</trackRevisions>
    </reviewItem>
    <reviewItem>
      <errorID>69e9422b-f5fd-42cc-8679-4264d8cfe89d</errorID>
      <errorWord>党史、新中国史、改革开放史社会主义发展史</errorWord>
      <group>L1_Political</group>
      <groupName>政治性问题</groupName>
      <ability>L2_Keyword</ability>
      <abilityName>固定表述</abilityName>
      <candidateList>
        <item>党史、新中国史、改革开放史、社会主义发展史</item>
      </candidateList>
      <explain>注意检查当前固定表述标点是否使用规范。</explain>
      <paraID>79F8803C</paraID>
      <start>4</start>
      <end>25</end>
      <status>modified</status>
      <modifiedWord>党史、新中国史、改革开放史、社会主义发展史</modifiedWord>
      <trackRevisions>false</trackRevisions>
    </reviewItem>
    <reviewItem>
      <errorID>7bf7e516-def7-4399-bd07-415a38d8c71e</errorID>
      <errorWord>党史教育</errorWord>
      <group>L1_Word</group>
      <groupName>字词问题</groupName>
      <ability>L2_Typo</ability>
      <abilityName>字词错误</abilityName>
      <candidateList>
        <item>党史学习教育</item>
      </candidateList>
      <explain/>
      <paraID>543FF10F</paraID>
      <start>195</start>
      <end>201</end>
      <status>modified</status>
      <modifiedWord>党史学习教育</modifiedWord>
      <trackRevisions>false</trackRevisions>
    </reviewItem>
    <reviewItem>
      <errorID>8c861df5-d370-42f7-bdb7-858041009eac</errorID>
      <errorWord>党史教育</errorWord>
      <group>L1_Word</group>
      <groupName>字词问题</groupName>
      <ability>L2_Typo</ability>
      <abilityName>字词错误</abilityName>
      <candidateList>
        <item>党史学习教育</item>
      </candidateList>
      <explain/>
      <paraID>7F711B91</paraID>
      <start>3</start>
      <end>9</end>
      <status>modified</status>
      <modifiedWord>党史学习教育</modifiedWord>
      <trackRevisions>false</trackRevisions>
    </reviewItem>
    <reviewItem>
      <errorID>08176946-f5d5-4620-81bf-13abfa673af8</errorID>
      <errorWord>读原著学原文悟原理</errorWord>
      <group>L1_Political</group>
      <groupName>政治性问题</groupName>
      <ability>L2_Keyword</ability>
      <abilityName>固定表述</abilityName>
      <candidateList>
        <item>读原著、学原文、悟原理</item>
      </candidateList>
      <explain>注意检查当前固定表述标点是否使用规范。</explain>
      <paraID>7F711B91</paraID>
      <start>137</start>
      <end>148</end>
      <status>modified</status>
      <modifiedWord>读原著、学原文、悟原理</modifiedWord>
      <trackRevisions>false</trackRevisions>
    </reviewItem>
    <reviewItem>
      <errorID>298267f4-d800-49b0-82ea-a9b21ef78dfb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6FC2E982</paraID>
      <start>9</start>
      <end>10</end>
      <status>modified</status>
      <modifiedWord>地</modifiedWord>
      <trackRevisions>false</trackRevisions>
    </reviewItem>
    <reviewItem>
      <errorID>2d254550-1136-4791-814e-7d524c1f47f1</errorID>
      <errorWord>基木</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3DF035DB</paraID>
      <start>13</start>
      <end>15</end>
      <status>modified</status>
      <modifiedWord>基本</modifiedWord>
      <trackRevisions>false</trackRevisions>
    </reviewItem>
    <reviewItem>
      <errorID>4541bfc3-6141-4d7d-bc98-fea08e0b3ba1</errorID>
      <errorWord>:</errorWord>
      <group>L1_Format</group>
      <groupName>格式问题</groupName>
      <ability>L2_HalfPunc</ability>
      <abilityName>全半角检查</abilityName>
      <candidateList>
        <item>：</item>
      </candidateList>
      <explain>文本全半角错误。</explain>
      <paraID>3DF035DB</paraID>
      <start>26</start>
      <end>27</end>
      <status>modified</status>
      <modifiedWord>：</modifiedWord>
      <trackRevisions>false</trackRevisions>
    </reviewItem>
    <reviewItem>
      <errorID>3ab85659-5bf3-4564-bddd-f9496b7fe067</errorID>
      <errorWord>力</errorWord>
      <group>L1_Word</group>
      <groupName>字词问题</groupName>
      <ability>L2_Typo</ability>
      <abilityName>字词错误</abilityName>
      <candidateList>
        <item>力和</item>
      </candidateList>
      <explain/>
      <paraID>525280A2</paraID>
      <start>14</start>
      <end>16</end>
      <status>modified</status>
      <modifiedWord>力和</modifiedWord>
      <trackRevisions>false</trackRevisions>
    </reviewItem>
    <reviewItem>
      <errorID>8d8e4e6a-daa2-414a-b4ff-54feac8d1037</errorID>
      <errorWord>、等</errorWord>
      <group>L1_Punc</group>
      <groupName>标点问题</groupName>
      <ability>L2_Punc</ability>
      <abilityName>标点符号检查</abilityName>
      <candidateList>
        <item>等</item>
      </candidateList>
      <explain>“及”“和”“等”连词前不宜使用顿号，建议删除（或使用逗号）。</explain>
      <paraID> BC5797F</paraID>
      <start>106</start>
      <end>107</end>
      <status>modified</status>
      <modifiedWord>等</modifiedWord>
      <trackRevisions>false</trackRevisions>
    </reviewItem>
    <reviewItem>
      <errorID>bd7bddbe-0738-49ce-b2e9-8e5f31877732</errorID>
      <errorWord>；</errorWord>
      <group>L1_Word</group>
      <groupName>字词问题</groupName>
      <ability>L2_Typo</ability>
      <abilityName>字词错误</abilityName>
      <candidateList>
        <item>；在</item>
      </candidateList>
      <explain/>
      <paraID>79BDA95C</paraID>
      <start>45</start>
      <end>47</end>
      <status>modified</status>
      <modifiedWord>；在</modifiedWord>
      <trackRevisions>false</trackRevisions>
    </reviewItem>
    <reviewItem>
      <errorID>148752a0-b7ab-428a-b89c-c2717de7f2a3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4949608A</paraID>
      <start>113</start>
      <end>114</end>
      <status>modified</status>
      <modifiedWord>地</modifiedWord>
      <trackRevisions>false</trackRevisions>
    </reviewItem>
    <reviewItem>
      <errorID>de46e3b8-5684-4dd9-8ed2-719fba73f99d</errorID>
      <errorWord>提高</errorWord>
      <group>L1_Grammar</group>
      <groupName>语法问题</groupName>
      <ability>L2_Grammar</ability>
      <abilityName>语法错误</abilityName>
      <candidateList>
        <item>增强</item>
      </candidateList>
      <explain>“提高～意识”搭配不当，建议修改为“增强～意识”。</explain>
      <paraID>40D53F69</paraID>
      <start>11</start>
      <end>13</end>
      <status>modified</status>
      <modifiedWord>增强</modifiedWord>
      <trackRevisions>false</trackRevisions>
    </reviewItem>
    <reviewItem>
      <errorID>e43d55cc-e64f-4be5-9b8c-a571fd4b4f33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3898DDC5</paraID>
      <start>35</start>
      <end>36</end>
      <status>modified</status>
      <modifiedWord>地</modifiedWord>
      <trackRevisions>false</trackRevisions>
    </reviewItem>
    <reviewItem>
      <errorID>b9a7f1e1-20bf-4c02-bf04-4f8c08316504</errorID>
      <errorWord>洽疗</errorWord>
      <group>L1_Word</group>
      <groupName>字词问题</groupName>
      <ability>L2_Typo</ability>
      <abilityName>字词错误</abilityName>
      <candidateList>
        <item>治疗</item>
      </candidateList>
      <explain>〈动〉用药物、手术等消除疾病：长期～｜隔离～｜他的病必须住院～。</explain>
      <paraID>5623E598</paraID>
      <start>58</start>
      <end>60</end>
      <status>modified</status>
      <modifiedWord>治疗</modifiedWord>
      <trackRevisions>false</trackRevisions>
    </reviewItem>
    <reviewItem>
      <errorID>5ee17e74-7b2b-40d3-9742-4913e6eec997</errorID>
      <errorWord>;</errorWord>
      <group>L1_Format</group>
      <groupName>格式问题</groupName>
      <ability>L2_HalfPunc</ability>
      <abilityName>全半角检查</abilityName>
      <candidateList>
        <item>；</item>
      </candidateList>
      <explain>文本全半角错误。</explain>
      <paraID>5623E598</paraID>
      <start>164</start>
      <end>165</end>
      <status>modified</status>
      <modifiedWord>；</modifiedWord>
      <trackRevisions>false</trackRevisions>
    </reviewItem>
    <reviewItem>
      <errorID>f5d2448b-0f86-4684-980d-4a773d83aa87</errorID>
      <errorWord>必须</errorWord>
      <group>L1_Word</group>
      <groupName>字词问题</groupName>
      <ability>L2_Typo</ability>
      <abilityName>字词错误</abilityName>
      <candidateList>
        <item>必需</item>
      </candidateList>
      <explain>〈动〉一定要有；不可少：日用～品｜煤铁等是发展工业所～的原料。</explain>
      <paraID>485B2027</paraID>
      <start>25</start>
      <end>27</end>
      <status>modified</status>
      <modifiedWord>必需</modifiedWord>
      <trackRevisions>false</trackRevisions>
    </reviewItem>
    <reviewItem>
      <errorID>917f5949-9e04-4093-be41-0b762b73fa7b</errorID>
      <errorWord>他的</errorWord>
      <group>L1_Word</group>
      <groupName>字词问题</groupName>
      <ability>L2_Typo</ability>
      <abilityName>字词错误</abilityName>
      <candidateList>
        <item>他</item>
      </candidateList>
      <explain/>
      <paraID>485B2027</paraID>
      <start>183</start>
      <end>184</end>
      <status>modified</status>
      <modifiedWord>他</modifiedWord>
      <trackRevisions>false</trackRevisions>
    </reviewItem>
    <reviewItem>
      <errorID>01510879-3680-485a-94b8-d19edd881d67</errorID>
      <errorWord>;</errorWord>
      <group>L1_Format</group>
      <groupName>格式问题</groupName>
      <ability>L2_HalfPunc</ability>
      <abilityName>全半角检查</abilityName>
      <candidateList>
        <item>；</item>
      </candidateList>
      <explain>文本全半角错误。</explain>
      <paraID>485B2027</paraID>
      <start>268</start>
      <end>269</end>
      <status>modified</status>
      <modifiedWord>；</modifiedWord>
      <trackRevisions>false</trackRevisions>
    </reviewItem>
    <reviewItem>
      <errorID>60ae76cd-16a0-4ecc-9a65-e46bfff79573</errorID>
      <errorWord>;</errorWord>
      <group>L1_Format</group>
      <groupName>格式问题</groupName>
      <ability>L2_HalfPunc</ability>
      <abilityName>全半角检查</abilityName>
      <candidateList>
        <item>；</item>
      </candidateList>
      <explain>文本全半角错误。</explain>
      <paraID>3457E8A6</paraID>
      <start>79</start>
      <end>80</end>
      <status>modified</status>
      <modifiedWord>；</modifiedWord>
      <trackRevisions>false</trackRevisions>
    </reviewItem>
    <reviewItem>
      <errorID>0f20c748-949d-4a8f-964e-b4f5d505faef</errorID>
      <errorWord>;</errorWord>
      <group>L1_Format</group>
      <groupName>格式问题</groupName>
      <ability>L2_HalfPunc</ability>
      <abilityName>全半角检查</abilityName>
      <candidateList>
        <item>；</item>
      </candidateList>
      <explain>文本全半角错误。</explain>
      <paraID>3457E8A6</paraID>
      <start>110</start>
      <end>111</end>
      <status>modified</status>
      <modifiedWord>；</modifiedWord>
      <trackRevisions>false</trackRevisions>
    </reviewItem>
    <reviewItem>
      <errorID>5d0bf9aa-e8d0-4fa6-b641-11f60593af42</errorID>
      <errorWord>;</errorWord>
      <group>L1_Format</group>
      <groupName>格式问题</groupName>
      <ability>L2_HalfPunc</ability>
      <abilityName>全半角检查</abilityName>
      <candidateList>
        <item>；</item>
      </candidateList>
      <explain>文本全半角错误。</explain>
      <paraID>20C45BD7</paraID>
      <start>69</start>
      <end>70</end>
      <status>modified</status>
      <modifiedWord>；</modifiedWord>
      <trackRevisions>false</trackRevisions>
    </reviewItem>
    <reviewItem>
      <errorID>eceb3cb3-1720-48e5-b49e-f1d354113aa3</errorID>
      <errorWord>;</errorWord>
      <group>L1_Format</group>
      <groupName>格式问题</groupName>
      <ability>L2_HalfPunc</ability>
      <abilityName>全半角检查</abilityName>
      <candidateList>
        <item>；</item>
      </candidateList>
      <explain>文本全半角错误。</explain>
      <paraID>20C45BD7</paraID>
      <start>115</start>
      <end>116</end>
      <status>modified</status>
      <modifiedWord>；</modifiedWord>
      <trackRevisions>false</trackRevisions>
    </reviewItem>
    <reviewItem>
      <errorID>2ac2cef5-dd14-4c7f-ac91-026363bda94a</errorID>
      <errorWord>能</errorWord>
      <group>L1_Word</group>
      <groupName>字词问题</groupName>
      <ability>L2_Typo</ability>
      <abilityName>字词错误</abilityName>
      <candidateList>
        <item>能够</item>
      </candidateList>
      <explain/>
      <paraID>1D477FAC</paraID>
      <start>44</start>
      <end>46</end>
      <status>modified</status>
      <modifiedWord>能够</modifiedWord>
      <trackRevisions>false</trackRevisions>
    </reviewItem>
    <reviewItem>
      <errorID>ddcfa8eb-33b2-4855-9d29-3e3aec0451cc</errorID>
      <errorWord>学会学会</errorWord>
      <group>L1_Word</group>
      <groupName>字词问题</groupName>
      <ability>L2_Typo</ability>
      <abilityName>字词错误</abilityName>
      <candidateList>
        <item>学会</item>
      </candidateList>
      <explain/>
      <paraID>1D477FAC</paraID>
      <start>68</start>
      <end>70</end>
      <status>modified</status>
      <modifiedWord>学会</modifiedWord>
      <trackRevisions>false</trackRevisions>
    </reviewItem>
    <reviewItem>
      <errorID>69ce9786-9802-42a1-b9ca-52187fd49940</errorID>
      <errorWord>;</errorWord>
      <group>L1_Format</group>
      <groupName>格式问题</groupName>
      <ability>L2_HalfPunc</ability>
      <abilityName>全半角检查</abilityName>
      <candidateList>
        <item>；</item>
      </candidateList>
      <explain>文本全半角错误。</explain>
      <paraID>6EB73459</paraID>
      <start>94</start>
      <end>95</end>
      <status>modified</status>
      <modifiedWord>；</modifiedWord>
      <trackRevisions>false</trackRevisions>
    </reviewItem>
    <reviewItem>
      <errorID>10fd8daa-6f44-45a8-9576-16312fe3d6d1</errorID>
      <errorWord>;</errorWord>
      <group>L1_Format</group>
      <groupName>格式问题</groupName>
      <ability>L2_HalfPunc</ability>
      <abilityName>全半角检查</abilityName>
      <candidateList>
        <item>；</item>
      </candidateList>
      <explain>文本全半角错误。</explain>
      <paraID>6EB73459</paraID>
      <start>127</start>
      <end>128</end>
      <status>modified</status>
      <modifiedWord>；</modifiedWord>
      <trackRevisions>false</trackRevisions>
    </reviewItem>
    <reviewItem>
      <errorID>49342c6d-0d61-45e2-b8a0-a34dcb8d67af</errorID>
      <errorWord>世界观、价值观、人生观</errorWord>
      <group>L1_Political</group>
      <groupName>政治性问题</groupName>
      <ability>L2_Keyword</ability>
      <abilityName>固定表述</abilityName>
      <candidateList>
        <item>世界观、人生观、价值观</item>
      </candidateList>
      <explain>词汇“世界观、人生观、价值观”在特定场景下为固定表述形式，请确认此处的“世界观、价值观、人生观”是否存在不当。</explain>
      <paraID> A35BDB3</paraID>
      <start>110</start>
      <end>121</end>
      <status>modified</status>
      <modifiedWord>世界观、人生观、价值观</modifiedWord>
      <trackRevisions>false</trackRevisions>
    </reviewItem>
    <reviewItem>
      <errorID>06d1487b-b639-4533-89ed-b6a9b0855ec2</errorID>
      <errorWord>能力的</errorWord>
      <group>L1_Word</group>
      <groupName>字词问题</groupName>
      <ability>L2_Typo</ability>
      <abilityName>字词错误</abilityName>
      <candidateList>
        <item>能力</item>
      </candidateList>
      <explain>〈名〉能胜任某项任务的主观条件：～强｜他经验丰富，有～担当这项工作。</explain>
      <paraID> A35BDB3</paraID>
      <start>154</start>
      <end>156</end>
      <status>modified</status>
      <modifiedWord>能力</modifiedWord>
      <trackRevisions>false</trackRevisions>
    </reviewItem>
    <reviewItem>
      <errorID>99a97a58-5fa4-4aeb-8f45-9a16919cdb35</errorID>
      <errorWord>世界观、价值观、人生观</errorWord>
      <group>L1_Political</group>
      <groupName>政治性问题</groupName>
      <ability>L2_Keyword</ability>
      <abilityName>固定表述</abilityName>
      <candidateList>
        <item>世界观、人生观、价值观</item>
      </candidateList>
      <explain>词汇“世界观、人生观、价值观”在特定场景下为固定表述形式，请确认此处的“世界观、价值观、人生观”是否存在不当。</explain>
      <paraID>31A602C9</paraID>
      <start>100</start>
      <end>111</end>
      <status>modified</status>
      <modifiedWord>世界观、人生观、价值观</modifiedWord>
      <trackRevisions>false</trackRevisions>
    </reviewItem>
    <reviewItem>
      <errorID>5fb40c8c-683f-47b8-a1ae-aaa6f2027645</errorID>
      <errorWord>能力的</errorWord>
      <group>L1_Word</group>
      <groupName>字词问题</groupName>
      <ability>L2_Typo</ability>
      <abilityName>字词错误</abilityName>
      <candidateList>
        <item>能力</item>
      </candidateList>
      <explain>〈名〉能胜任某项任务的主观条件：～强｜他经验丰富，有～担当这项工作。</explain>
      <paraID>31A602C9</paraID>
      <start>144</start>
      <end>146</end>
      <status>modified</status>
      <modifiedWord>能力</modifiedWord>
      <trackRevisions>false</trackRevisions>
    </reviewItem>
    <reviewItem>
      <errorID>332692d9-c255-4551-babf-558c90ca8d5f</errorID>
      <errorWord>科程</errorWord>
      <group>L1_Word</group>
      <groupName>字词问题</groupName>
      <ability>L2_Typo</ability>
      <abilityName>字词错误</abilityName>
      <candidateList>
        <item>课程</item>
      </candidateList>
      <explain>存在发音相同字词的误用。</explain>
      <paraID>56EE8733</paraID>
      <start>3</start>
      <end>5</end>
      <status>modified</status>
      <modifiedWord>课程</modifiedWord>
      <trackRevisions>false</trackRevisions>
    </reviewItem>
    <reviewItem>
      <errorID>2959c607-e909-4f3c-8eab-624825ad8ded</errorID>
      <errorWord>领面</errorWord>
      <group>L1_Word</group>
      <groupName>字词问题</groupName>
      <ability>L2_Typo</ability>
      <abilityName>字词错误</abilityName>
      <candidateList>
        <item>颌面</item>
      </candidateList>
      <explain/>
      <paraID>56EE8733</paraID>
      <start>17</start>
      <end>19</end>
      <status>modified</status>
      <modifiedWord>颌面</modifiedWord>
      <trackRevisions>false</trackRevisions>
    </reviewItem>
    <reviewItem>
      <errorID>fb4eb34b-125e-4b1b-b52a-354480520c85</errorID>
      <errorWord>领面</errorWord>
      <group>L1_Word</group>
      <groupName>字词问题</groupName>
      <ability>L2_Typo</ability>
      <abilityName>字词错误</abilityName>
      <candidateList>
        <item>颌面</item>
      </candidateList>
      <explain/>
      <paraID>56EE8733</paraID>
      <start>38</start>
      <end>40</end>
      <status>modified</status>
      <modifiedWord>颌面</modifiedWord>
      <trackRevisions>false</trackRevisions>
    </reviewItem>
    <reviewItem>
      <errorID>69706c49-a16c-4717-adf8-cb1a64aa401b</errorID>
      <errorWord>;</errorWord>
      <group>L1_Format</group>
      <groupName>格式问题</groupName>
      <ability>L2_HalfPunc</ability>
      <abilityName>全半角检查</abilityName>
      <candidateList>
        <item>；</item>
      </candidateList>
      <explain>文本全半角错误。</explain>
      <paraID>56EE8733</paraID>
      <start>77</start>
      <end>78</end>
      <status>modified</status>
      <modifiedWord>；</modifiedWord>
      <trackRevisions>false</trackRevisions>
    </reviewItem>
    <reviewItem>
      <errorID>9eb42d59-49c6-4fe4-809f-ee78219762f4</errorID>
      <errorWord>领面</errorWord>
      <group>L1_Word</group>
      <groupName>字词问题</groupName>
      <ability>L2_Typo</ability>
      <abilityName>字词错误</abilityName>
      <candidateList>
        <item>颌面</item>
      </candidateList>
      <explain/>
      <paraID>34506606</paraID>
      <start>4</start>
      <end>6</end>
      <status>modified</status>
      <modifiedWord>颌面</modifiedWord>
      <trackRevisions>false</trackRevisions>
    </reviewItem>
    <reviewItem>
      <errorID>068e7a50-3fe7-418c-a111-1b8ffdcc293e</errorID>
      <errorWord>;</errorWord>
      <group>L1_Format</group>
      <groupName>格式问题</groupName>
      <ability>L2_HalfPunc</ability>
      <abilityName>全半角检查</abilityName>
      <candidateList>
        <item>；</item>
      </candidateList>
      <explain>文本全半角错误。</explain>
      <paraID>34506606</paraID>
      <start>39</start>
      <end>40</end>
      <status>modified</status>
      <modifiedWord>；</modifiedWord>
      <trackRevisions>false</trackRevisions>
    </reviewItem>
    <reviewItem>
      <errorID>f2cddc90-ad21-4225-b57f-95a8febed731</errorID>
      <errorWord>领面</errorWord>
      <group>L1_Word</group>
      <groupName>字词问题</groupName>
      <ability>L2_Typo</ability>
      <abilityName>字词错误</abilityName>
      <candidateList>
        <item>颌面</item>
      </candidateList>
      <explain/>
      <paraID>700B8687</paraID>
      <start>48</start>
      <end>50</end>
      <status>modified</status>
      <modifiedWord>颌面</modifiedWord>
      <trackRevisions>false</trackRevisions>
    </reviewItem>
    <reviewItem>
      <errorID>ccbac85d-96c4-4ad1-9e79-33fb88e4fb19</errorID>
      <errorWord>领面</errorWord>
      <group>L1_Word</group>
      <groupName>字词问题</groupName>
      <ability>L2_Typo</ability>
      <abilityName>字词错误</abilityName>
      <candidateList>
        <item>颌面</item>
      </candidateList>
      <explain/>
      <paraID>700B8687</paraID>
      <start>69</start>
      <end>71</end>
      <status>modified</status>
      <modifiedWord>颌面</modifiedWord>
      <trackRevisions>false</trackRevisions>
    </reviewItem>
    <reviewItem>
      <errorID>b524d35a-7ee8-442e-ad76-29f504f0bd23</errorID>
      <errorWord>世界观、价值观、人生观</errorWord>
      <group>L1_Political</group>
      <groupName>政治性问题</groupName>
      <ability>L2_Keyword</ability>
      <abilityName>固定表述</abilityName>
      <candidateList>
        <item>世界观、人生观、价值观</item>
      </candidateList>
      <explain>词汇“世界观、人生观、价值观”在特定场景下为固定表述形式，请确认此处的“世界观、价值观、人生观”是否存在不当。</explain>
      <paraID>700B8687</paraID>
      <start>125</start>
      <end>136</end>
      <status>modified</status>
      <modifiedWord>世界观、人生观、价值观</modifiedWord>
      <trackRevisions>false</trackRevisions>
    </reviewItem>
    <reviewItem>
      <errorID>dd70b2ff-94fb-4107-af98-d7f808f94d4f</errorID>
      <errorWord>能力的</errorWord>
      <group>L1_Word</group>
      <groupName>字词问题</groupName>
      <ability>L2_Typo</ability>
      <abilityName>字词错误</abilityName>
      <candidateList>
        <item>能力</item>
      </candidateList>
      <explain>〈名〉能胜任某项任务的主观条件：～强｜他经验丰富，有～担当这项工作。</explain>
      <paraID>700B8687</paraID>
      <start>169</start>
      <end>171</end>
      <status>modified</status>
      <modifiedWord>能力</modifiedWord>
      <trackRevisions>false</trackRevisions>
    </reviewItem>
    <reviewItem>
      <errorID>aaf7df1a-e948-4c53-84f0-b70a5eb22939</errorID>
      <errorWord>掌握掌握</errorWord>
      <group>L1_Word</group>
      <groupName>字词问题</groupName>
      <ability>L2_Typo</ability>
      <abilityName>字词错误</abilityName>
      <candidateList>
        <item>掌握</item>
      </candidateList>
      <explain>〈动〉❶了解事物，因而能充分支配或运用：～技术｜～理论｜～原则｜～规律◇～自己的命运。❷主持；控制：～会议｜～政权。</explain>
      <paraID>6BA0DFC6</paraID>
      <start>13</start>
      <end>15</end>
      <status>modified</status>
      <modifiedWord>掌握</modifiedWord>
      <trackRevisions>false</trackRevisions>
    </reviewItem>
    <reviewItem>
      <errorID>bca8e51b-72a7-4a5a-a176-534865265924</errorID>
      <errorWord>世界观、价值观、人生观</errorWord>
      <group>L1_Political</group>
      <groupName>政治性问题</groupName>
      <ability>L2_Keyword</ability>
      <abilityName>固定表述</abilityName>
      <candidateList>
        <item>世界观、人生观、价值观</item>
      </candidateList>
      <explain>词汇“世界观、人生观、价值观”在特定场景下为固定表述形式，请确认此处的“世界观、价值观、人生观”是否存在不当。</explain>
      <paraID>6634D3D5</paraID>
      <start>106</start>
      <end>117</end>
      <status>modified</status>
      <modifiedWord>世界观、人生观、价值观</modifiedWord>
      <trackRevisions>false</trackRevisions>
    </reviewItem>
    <reviewItem>
      <errorID>2e135f2f-73ef-4817-ad85-ed5a362cd919</errorID>
      <errorWord>能力的</errorWord>
      <group>L1_Word</group>
      <groupName>字词问题</groupName>
      <ability>L2_Typo</ability>
      <abilityName>字词错误</abilityName>
      <candidateList>
        <item>能力</item>
      </candidateList>
      <explain>〈名〉能胜任某项任务的主观条件：～强｜他经验丰富，有～担当这项工作。</explain>
      <paraID>6634D3D5</paraID>
      <start>150</start>
      <end>152</end>
      <status>modified</status>
      <modifiedWord>能力</modifiedWord>
      <trackRevisions>false</trackRevisions>
    </reviewItem>
    <reviewItem>
      <errorID>f3443b3b-5b38-45fc-a2d9-04e8ddc62314</errorID>
      <errorWord>相辅相承</errorWord>
      <group>L1_Word</group>
      <groupName>字词问题</groupName>
      <ability>L2_Typo</ability>
      <abilityName>字词错误</abilityName>
      <candidateList>
        <item>相辅相成</item>
      </candidateList>
      <explain>互相补充，互相配合。</explain>
      <paraID>2B5F1175</paraID>
      <start>29</start>
      <end>33</end>
      <status>modified</status>
      <modifiedWord>相辅相成</modifiedWord>
      <trackRevisions>false</trackRevisions>
    </reviewItem>
    <reviewItem>
      <errorID>eb55e6a3-1314-4b08-b3ff-d7d85fed926a</errorID>
      <errorWord>材料材料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2F2AA844</paraID>
      <start>66</start>
      <end>68</end>
      <status>modified</status>
      <modifiedWord>材料</modifiedWord>
      <trackRevisions>false</trackRevisions>
    </reviewItem>
    <reviewItem>
      <errorID>312096c6-b194-46e0-b95e-bb66fcc41ce1</errorID>
      <errorWord>;</errorWord>
      <group>L1_Format</group>
      <groupName>格式问题</groupName>
      <ability>L2_HalfPunc</ability>
      <abilityName>全半角检查</abilityName>
      <candidateList>
        <item>；</item>
      </candidateList>
      <explain>文本全半角错误。</explain>
      <paraID>2CE4EB8F</paraID>
      <start>64</start>
      <end>65</end>
      <status>modified</status>
      <modifiedWord>；</modifiedWord>
      <trackRevisions>false</trackRevisions>
    </reviewItem>
    <reviewItem>
      <errorID>6c36a3ea-38d8-498b-a910-de79e0c5c309</errorID>
      <errorWord>全心全意为病人服务</errorWord>
      <group>L1_Political</group>
      <groupName>政治性问题</groupName>
      <ability>L2_Keyword</ability>
      <abilityName>固定表述</abilityName>
      <candidateList>
        <item>全心全意为人民服务</item>
      </candidateList>
      <explain>词汇“全心全意为人民服务”在特定场景下为固定表述形式，请确认此处的“全心全意为病人服务”是否存在不当。</explain>
      <paraID>2FAE5D7C</paraID>
      <start>84</start>
      <end>93</end>
      <status>modified</status>
      <modifiedWord>全心全意为人民服务</modifiedWord>
      <trackRevisions>false</trackRevisions>
    </reviewItem>
    <reviewItem>
      <errorID>d2f2f20c-256e-4c9a-bee3-41d30ef07401</errorID>
      <errorWord>掌握掌握</errorWord>
      <group>L1_Word</group>
      <groupName>字词问题</groupName>
      <ability>L2_Typo</ability>
      <abilityName>字词错误</abilityName>
      <candidateList>
        <item>掌握</item>
      </candidateList>
      <explain>〈动〉❶了解事物，因而能充分支配或运用：～技术｜～理论｜～原则｜～规律◇～自己的命运。❷主持；控制：～会议｜～政权。</explain>
      <paraID>4640853F</paraID>
      <start>13</start>
      <end>15</end>
      <status>modified</status>
      <modifiedWord>掌握</modifiedWord>
      <trackRevisions>false</trackRevisions>
    </reviewItem>
    <reviewItem>
      <errorID>9aca8192-019f-409d-b4d2-45fee87752e1</errorID>
      <errorWord>細</errorWord>
      <group>L1_Word</group>
      <groupName>字词问题</groupName>
      <ability>L2_Fanti</ability>
      <abilityName>繁转简</abilityName>
      <candidateList>
        <item>细</item>
      </candidateList>
      <explain/>
      <paraID>393DC787</paraID>
      <start>167</start>
      <end>168</end>
      <status>modified</status>
      <modifiedWord>细</modifiedWord>
      <trackRevisions>false</trackRevisions>
    </reviewItem>
    <reviewItem>
      <errorID>646a5612-76de-4fa8-b159-8a8950135e26</errorID>
      <errorWord>;</errorWord>
      <group>L1_Format</group>
      <groupName>格式问题</groupName>
      <ability>L2_HalfPunc</ability>
      <abilityName>全半角检查</abilityName>
      <candidateList>
        <item>；</item>
      </candidateList>
      <explain>文本全半角错误。</explain>
      <paraID>53ECF986</paraID>
      <start>25</start>
      <end>26</end>
      <status>modified</status>
      <modifiedWord>；</modifiedWord>
      <trackRevisions>false</trackRevisions>
    </reviewItem>
    <reviewItem>
      <errorID>97a3bc4c-6ddf-45d6-8cee-6e0c2024957c</errorID>
      <errorWord>;</errorWord>
      <group>L1_Format</group>
      <groupName>格式问题</groupName>
      <ability>L2_HalfPunc</ability>
      <abilityName>全半角检查</abilityName>
      <candidateList>
        <item>；</item>
      </candidateList>
      <explain>文本全半角错误。</explain>
      <paraID>242D5298</paraID>
      <start>46</start>
      <end>47</end>
      <status>modified</status>
      <modifiedWord>；</modifiedWord>
      <trackRevisions>false</trackRevisions>
    </reviewItem>
    <reviewItem>
      <errorID>2c732086-a499-4dc2-82be-a748600f0213</errorID>
      <errorWord>-</errorWord>
      <group>L1_Format</group>
      <groupName>格式问题</groupName>
      <ability>L2_HalfPunc</ability>
      <abilityName>全半角检查</abilityName>
      <candidateList>
        <item>－</item>
      </candidateList>
      <explain>文本全半角错误。</explain>
      <paraID>138BAADD</paraID>
      <start>81</start>
      <end>82</end>
      <status>modified</status>
      <modifiedWord>－</modifiedWord>
      <trackRevisions>false</trackRevisions>
    </reviewItem>
    <reviewItem>
      <errorID>ea9b952e-43bb-4c9b-8c64-e75c7a77bc29</errorID>
      <errorWord>-</errorWord>
      <group>L1_Format</group>
      <groupName>格式问题</groupName>
      <ability>L2_HalfPunc</ability>
      <abilityName>全半角检查</abilityName>
      <candidateList>
        <item>－</item>
      </candidateList>
      <explain>文本全半角错误。</explain>
      <paraID>138BAADD</paraID>
      <start>84</start>
      <end>85</end>
      <status>modified</status>
      <modifiedWord>－</modifiedWord>
      <trackRevisions>false</trackRevisions>
    </reviewItem>
    <reviewItem>
      <errorID>56b0ffa1-cc1f-41d4-a7d5-b32cea544fe7</errorID>
      <errorWord>-</errorWord>
      <group>L1_Format</group>
      <groupName>格式问题</groupName>
      <ability>L2_HalfPunc</ability>
      <abilityName>全半角检查</abilityName>
      <candidateList>
        <item>－</item>
      </candidateList>
      <explain>文本全半角错误。</explain>
      <paraID>138BAADD</paraID>
      <start>87</start>
      <end>88</end>
      <status>modified</status>
      <modifiedWord>－</modifiedWord>
      <trackRevisions>false</trackRevisions>
    </reviewItem>
    <reviewItem>
      <errorID>cc6300d7-2fe9-43d1-b634-ad5ca5ee8c49</errorID>
      <errorWord>使用到</errorWord>
      <group>L1_Word</group>
      <groupName>字词问题</groupName>
      <ability>L2_Typo</ability>
      <abilityName>字词错误</abilityName>
      <candidateList>
        <item>使用</item>
      </candidateList>
      <explain>〈动〉使人员、器物、资金等为某种目的服务：～干部｜合理～资金。</explain>
      <paraID>138BAADD</paraID>
      <start>102</start>
      <end>104</end>
      <status>modified</status>
      <modifiedWord>使用</modifiedWord>
      <trackRevisions>false</trackRevisions>
    </reviewItem>
    <reviewItem>
      <errorID>9fdb6b27-2fb7-4b36-9195-1dabcdb75980</errorID>
      <errorWord>熟练学握</errorWord>
      <group>L1_Word</group>
      <groupName>字词问题</groupName>
      <ability>L2_Typo</ability>
      <abilityName>字词错误</abilityName>
      <candidateList>
        <item>熟练掌握</item>
      </candidateList>
      <explain/>
      <paraID>6FEEC112</paraID>
      <start>47</start>
      <end>51</end>
      <status>modified</status>
      <modifiedWord>熟练掌握</modifiedWord>
      <trackRevisions>false</trackRevisions>
    </reviewItem>
    <reviewItem>
      <errorID>6aae5a31-af8d-422c-9bb3-a6ed2e7975c5</errorID>
      <errorWord>;</errorWord>
      <group>L1_Format</group>
      <groupName>格式问题</groupName>
      <ability>L2_HalfPunc</ability>
      <abilityName>全半角检查</abilityName>
      <candidateList>
        <item>；</item>
      </candidateList>
      <explain>文本全半角错误。</explain>
      <paraID>6FEEC112</paraID>
      <start>84</start>
      <end>85</end>
      <status>modified</status>
      <modifiedWord>；</modifiedWord>
      <trackRevisions>false</trackRevisions>
    </reviewItem>
    <reviewItem>
      <errorID>b37b429e-3276-4810-9aac-52ca269be04b</errorID>
      <errorWord>成力</errorWord>
      <group>L1_Word</group>
      <groupName>字词问题</groupName>
      <ability>L2_Typo</ability>
      <abilityName>字词错误</abilityName>
      <candidateList>
        <item>成为</item>
      </candidateList>
      <explain>〈动〉变成：～先进工作者。</explain>
      <paraID>6FEEC112</paraID>
      <start>155</start>
      <end>157</end>
      <status>modified</status>
      <modifiedWord>成为</modifiedWord>
      <trackRevisions>false</trackRevisions>
    </reviewItem>
    <reviewItem>
      <errorID>68e88efd-7085-408a-9713-1b58a55c61a7</errorID>
      <errorWord>具备各</errorWord>
      <group>L1_Word</group>
      <groupName>字词问题</groupName>
      <ability>L2_Typo</ability>
      <abilityName>字词错误</abilityName>
      <candidateList>
        <item>具备</item>
      </candidateList>
      <explain/>
      <paraID>2FCB9CE1</paraID>
      <start>7</start>
      <end>9</end>
      <status>modified</status>
      <modifiedWord>具备</modifiedWord>
      <trackRevisions>false</trackRevisions>
    </reviewItem>
    <reviewItem>
      <errorID>be2095b6-4a0d-42e0-9ca7-2abf71301d8e</errorID>
      <errorWord>熟练学握</errorWord>
      <group>L1_Word</group>
      <groupName>字词问题</groupName>
      <ability>L2_Typo</ability>
      <abilityName>字词错误</abilityName>
      <candidateList>
        <item>熟练掌握</item>
      </candidateList>
      <explain/>
      <paraID>2FCB9CE1</paraID>
      <start>47</start>
      <end>51</end>
      <status>modified</status>
      <modifiedWord>熟练掌握</modifiedWord>
      <trackRevisions>false</trackRevisions>
    </reviewItem>
    <reviewItem>
      <errorID>95985f39-4a23-4b94-b234-b29b1bfa0f62</errorID>
      <errorWord>;</errorWord>
      <group>L1_Format</group>
      <groupName>格式问题</groupName>
      <ability>L2_HalfPunc</ability>
      <abilityName>全半角检查</abilityName>
      <candidateList>
        <item>；</item>
      </candidateList>
      <explain>文本全半角错误。</explain>
      <paraID>2FCB9CE1</paraID>
      <start>84</start>
      <end>85</end>
      <status>modified</status>
      <modifiedWord>；</modifiedWord>
      <trackRevisions>false</trackRevisions>
    </reviewItem>
    <reviewItem>
      <errorID>45a5137a-ef99-4523-988b-c66603139f52</errorID>
      <errorWord>成力</errorWord>
      <group>L1_Word</group>
      <groupName>字词问题</groupName>
      <ability>L2_Typo</ability>
      <abilityName>字词错误</abilityName>
      <candidateList>
        <item>成为</item>
      </candidateList>
      <explain>〈动〉变成：～先进工作者。</explain>
      <paraID>2FCB9CE1</paraID>
      <start>155</start>
      <end>157</end>
      <status>modified</status>
      <modifiedWord>成为</modifiedWord>
      <trackRevisions>false</trackRevisions>
    </reviewItem>
    <reviewItem>
      <errorID>88e9c2db-ff43-4552-88d5-07cd916b52ab</errorID>
      <errorWord>，</errorWord>
      <group>L1_Word</group>
      <groupName>字词问题</groupName>
      <ability>L2_Typo</ability>
      <abilityName>字词错误</abilityName>
      <candidateList>
        <item>，具</item>
      </candidateList>
      <explain/>
      <paraID>  8C8AA3</paraID>
      <start>55</start>
      <end>57</end>
      <status>modified</status>
      <modifiedWord>，具</modifiedWord>
      <trackRevisions>false</trackRevisions>
    </reviewItem>
    <reviewItem>
      <errorID>920f2c59-5b24-42c5-b568-23158b428813</errorID>
      <errorWord>-</errorWord>
      <group>L1_Format</group>
      <groupName>格式问题</groupName>
      <ability>L2_HalfPunc</ability>
      <abilityName>全半角检查</abilityName>
      <candidateList>
        <item>－</item>
      </candidateList>
      <explain>文本全半角错误。</explain>
      <paraID> 9F27D78</paraID>
      <start>47</start>
      <end>48</end>
      <status>modified</status>
      <modifiedWord>－</modifiedWord>
      <trackRevisions>false</trackRevisions>
    </reviewItem>
    <reviewItem>
      <errorID>8ee8d595-401b-4673-a606-ba1dd616533e</errorID>
      <errorWord>病例</errorWord>
      <group>L1_Word</group>
      <groupName>字词问题</groupName>
      <ability>L2_Typo</ability>
      <abilityName>字词错误</abilityName>
      <candidateList>
        <item>病历</item>
      </candidateList>
      <explain>存在发音相同字词的误用。</explain>
      <paraID>53DAB83F</paraID>
      <start>145</start>
      <end>147</end>
      <status>modified</status>
      <modifiedWord>病历</modifiedWord>
      <trackRevisions>false</trackRevisions>
    </reviewItem>
    <reviewItem>
      <errorID>681474eb-9848-4433-a689-e3d92bb502e4</errorID>
      <errorWord>震荡</errorWord>
      <group>L1_Word</group>
      <groupName>字词问题</groupName>
      <ability>L2_Typo</ability>
      <abilityName>字词错误</abilityName>
      <candidateList>
        <item>振荡</item>
      </candidateList>
      <explain>存在发音相同字词的误用。</explain>
      <paraID>7519BA16</paraID>
      <start>7</start>
      <end>9</end>
      <status>modified</status>
      <modifiedWord>振荡</modifiedWord>
      <trackRevisions>false</trackRevisions>
    </reviewItem>
    <reviewItem>
      <errorID>1715f17e-792d-42d1-922b-340ce01685df</errorID>
      <errorWord>-</errorWord>
      <group>L1_Format</group>
      <groupName>格式问题</groupName>
      <ability>L2_HalfPunc</ability>
      <abilityName>全半角检查</abilityName>
      <candidateList>
        <item>－</item>
      </candidateList>
      <explain>文本全半角错误。</explain>
      <paraID>1D4E44DC</paraID>
      <start>34</start>
      <end>35</end>
      <status>modified</status>
      <modifiedWord>－</modifiedWord>
      <trackRevisions>false</trackRevisions>
    </reviewItem>
    <reviewItem>
      <errorID>8c356315-53cd-4224-9552-218402a435f9</errorID>
      <errorWord>-</errorWord>
      <group>L1_Format</group>
      <groupName>格式问题</groupName>
      <ability>L2_HalfPunc</ability>
      <abilityName>全半角检查</abilityName>
      <candidateList>
        <item>－</item>
      </candidateList>
      <explain>文本全半角错误。</explain>
      <paraID>1D4E44DC</paraID>
      <start>44</start>
      <end>45</end>
      <status>modified</status>
      <modifiedWord>－</modifiedWord>
      <trackRevisions>false</trackRevisions>
    </reviewItem>
    <reviewItem>
      <errorID>9ab97524-b82a-43a8-9a49-8fc7e3d4645f</errorID>
      <errorWord>-</errorWord>
      <group>L1_Format</group>
      <groupName>格式问题</groupName>
      <ability>L2_HalfPunc</ability>
      <abilityName>全半角检查</abilityName>
      <candidateList>
        <item>－</item>
      </candidateList>
      <explain>文本全半角错误。</explain>
      <paraID>1D4E44DC</paraID>
      <start>54</start>
      <end>55</end>
      <status>modified</status>
      <modifiedWord>－</modifiedWord>
      <trackRevisions>false</trackRevisions>
    </reviewItem>
    <reviewItem>
      <errorID>3798eb39-c9f7-48ae-87e3-5a088b08e5c4</errorID>
      <errorWord>理论与实际相结合</errorWord>
      <group>L1_Political</group>
      <groupName>政治性问题</groupName>
      <ability>L2_Keyword</ability>
      <abilityName>固定表述</abilityName>
      <candidateList>
        <item>理论与实践相结合</item>
      </candidateList>
      <explain>词汇“理论与实践相结合”在特定场景下为固定表述形式，请确认此处的“理论与实际相结合”是否存在不当。</explain>
      <paraID>1ECF692D</paraID>
      <start>53</start>
      <end>61</end>
      <status>modified</status>
      <modifiedWord>理论与实践相结合</modifiedWord>
      <trackRevisions>false</trackRevisions>
    </reviewItem>
    <reviewItem>
      <errorID>6e2b0dad-2827-47bb-a52c-ab028c526d94</errorID>
      <errorWord>；</errorWord>
      <group>L1_Word</group>
      <groupName>字词问题</groupName>
      <ability>L2_Typo</ability>
      <abilityName>字词错误</abilityName>
      <candidateList>
        <item>；在</item>
      </candidateList>
      <explain/>
      <paraID>1ECF692D</paraID>
      <start>221</start>
      <end>223</end>
      <status>modified</status>
      <modifiedWord>；在</modifiedWord>
      <trackRevisions>false</trackRevisions>
    </reviewItem>
    <reviewItem>
      <errorID>c9f9e53b-a79c-4fa3-9757-849771fe3925</errorID>
      <errorWord>-</errorWord>
      <group>L1_Format</group>
      <groupName>格式问题</groupName>
      <ability>L2_HalfPunc</ability>
      <abilityName>全半角检查</abilityName>
      <candidateList>
        <item>－</item>
      </candidateList>
      <explain>文本全半角错误。</explain>
      <paraID>1ECF692D</paraID>
      <start>265</start>
      <end>266</end>
      <status>modified</status>
      <modifiedWord>－</modifiedWord>
      <trackRevisions>false</trackRevisions>
    </reviewItem>
    <reviewItem>
      <errorID>a3bdd644-c890-4cce-8dcb-2c8b975e361e</errorID>
      <errorWord>-</errorWord>
      <group>L1_Format</group>
      <groupName>格式问题</groupName>
      <ability>L2_HalfPunc</ability>
      <abilityName>全半角检查</abilityName>
      <candidateList>
        <item>－</item>
      </candidateList>
      <explain>文本全半角错误。</explain>
      <paraID>1ECF692D</paraID>
      <start>268</start>
      <end>269</end>
      <status>modified</status>
      <modifiedWord>－</modifiedWord>
      <trackRevisions>false</trackRevisions>
    </reviewItem>
    <reviewItem>
      <errorID>a402992e-715d-4d64-8b9a-dded6fdd4895</errorID>
      <errorWord>-</errorWord>
      <group>L1_Format</group>
      <groupName>格式问题</groupName>
      <ability>L2_HalfPunc</ability>
      <abilityName>全半角检查</abilityName>
      <candidateList>
        <item>－</item>
      </candidateList>
      <explain>文本全半角错误。</explain>
      <paraID>1E2D3425</paraID>
      <start>25</start>
      <end>26</end>
      <status>modified</status>
      <modifiedWord>－</modifiedWord>
      <trackRevisions>false</trackRevisions>
    </reviewItem>
    <reviewItem>
      <errorID>d8642786-9ca1-4d55-884f-e3b48ea8eb19</errorID>
      <errorWord>-</errorWord>
      <group>L1_Format</group>
      <groupName>格式问题</groupName>
      <ability>L2_HalfPunc</ability>
      <abilityName>全半角检查</abilityName>
      <candidateList>
        <item>－</item>
      </candidateList>
      <explain>文本全半角错误。</explain>
      <paraID>1E2D3425</paraID>
      <start>28</start>
      <end>29</end>
      <status>modified</status>
      <modifiedWord>－</modifiedWord>
      <trackRevisions>false</trackRevisions>
    </reviewItem>
    <reviewItem>
      <errorID>295d8c18-7902-4a00-bfcb-01408822ea75</errorID>
      <errorWord>课目</errorWord>
      <group>L1_Word</group>
      <groupName>字词问题</groupName>
      <ability>L2_Typo</ability>
      <abilityName>字词错误</abilityName>
      <candidateList>
        <item>科目</item>
      </candidateList>
      <explain>〈名〉❶按事物的性质划分的类别（多指关于学术或账目的）。❷科举考试分科取士的名目。</explain>
      <paraID>4799ADB4</paraID>
      <start>6</start>
      <end>8</end>
      <status>modified</status>
      <modifiedWord>科目</modifiedWord>
      <trackRevisions>false</trackRevisions>
    </reviewItem>
    <reviewItem>
      <errorID>630440b5-1f95-4352-b071-3d3cf1081d6d</errorID>
      <errorWord>,</errorWord>
      <group>L1_Format</group>
      <groupName>格式问题</groupName>
      <ability>L2_HalfPunc</ability>
      <abilityName>全半角检查</abilityName>
      <candidateList>
        <item>，</item>
      </candidateList>
      <explain>文本全半角错误。</explain>
      <paraID>3F45B980</paraID>
      <start>15</start>
      <end>16</end>
      <status>modified</status>
      <modifiedWord>，</modifiedWord>
      <trackRevisions>false</trackRevisions>
    </reviewItem>
    <reviewItem>
      <errorID>563a2c7e-1816-4c34-be39-0689a752cd76</errorID>
      <errorWord>椅旁</errorWord>
      <group>L1_Word</group>
      <groupName>字词问题</groupName>
      <ability>L2_Typo</ability>
      <abilityName>字词错误</abilityName>
      <candidateList>
        <item>医疗</item>
      </candidateList>
      <explain/>
      <paraID>7023A0FC</paraID>
      <start>152</start>
      <end>154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06089-8e8f-4c89-9f1f-9557009a24a4}">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14270</Words>
  <Characters>14471</Characters>
  <Lines>0</Lines>
  <Paragraphs>0</Paragraphs>
  <TotalTime>1</TotalTime>
  <ScaleCrop>false</ScaleCrop>
  <LinksUpToDate>false</LinksUpToDate>
  <CharactersWithSpaces>14664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2026-06-09T11:08:00Z</dcterms:created>
  <dc:creator>办公秦韩</dc:creator>
  <cp:lastModifiedBy>佳佳</cp:lastModifiedBy>
  <dcterms:modified xsi:type="dcterms:W3CDTF">2026-06-24T01:27:31Z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9A978B530A9148DB96D9B4356CC560E8_11</vt:lpwstr>
  </property>
  <property fmtid="{D5CDD505-2E9C-101B-9397-08002B2CF9AE}" pid="4" name="KSOTemplateDocerSaveRecord">
    <vt:lpwstr>eyJoZGlkIjoiYTg1MjFlMWJjOGQxNmJkNzE5ZDI3YTE0MDE0Njk5YTkiLCJ1c2VySWQiOiI0MzE5MzI2NDQifQ==</vt:lpwstr>
  </property>
</Properties>
</file>