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876E76">
      <w:pPr>
        <w:spacing w:line="277" w:lineRule="auto"/>
        <w:rPr>
          <w:rFonts w:ascii="Arial"/>
          <w:sz w:val="21"/>
        </w:rPr>
      </w:pPr>
    </w:p>
    <w:p w14:paraId="5A237520">
      <w:pPr>
        <w:spacing w:line="277" w:lineRule="auto"/>
        <w:rPr>
          <w:rFonts w:ascii="Arial"/>
          <w:sz w:val="21"/>
        </w:rPr>
      </w:pPr>
    </w:p>
    <w:p w14:paraId="048D2CF4">
      <w:pPr>
        <w:spacing w:before="101" w:line="228" w:lineRule="auto"/>
        <w:ind w:left="44"/>
        <w:rPr>
          <w:rFonts w:hint="eastAsia" w:ascii="黑体" w:hAnsi="黑体" w:eastAsia="黑体" w:cs="黑体"/>
          <w:sz w:val="31"/>
          <w:szCs w:val="31"/>
          <w:lang w:eastAsia="zh-CN"/>
        </w:rPr>
      </w:pPr>
      <w:r>
        <w:rPr>
          <w:rFonts w:ascii="黑体" w:hAnsi="黑体" w:eastAsia="黑体" w:cs="黑体"/>
          <w:spacing w:val="-4"/>
          <w:sz w:val="31"/>
          <w:szCs w:val="31"/>
        </w:rPr>
        <w:t>附件</w:t>
      </w:r>
      <w:r>
        <w:rPr>
          <w:rFonts w:ascii="黑体" w:hAnsi="黑体" w:eastAsia="黑体" w:cs="黑体"/>
          <w:spacing w:val="-45"/>
          <w:sz w:val="31"/>
          <w:szCs w:val="31"/>
        </w:rPr>
        <w:t xml:space="preserve"> </w:t>
      </w:r>
      <w:r>
        <w:rPr>
          <w:rFonts w:hint="eastAsia" w:ascii="黑体" w:hAnsi="黑体" w:cs="黑体"/>
          <w:spacing w:val="-4"/>
          <w:sz w:val="31"/>
          <w:szCs w:val="31"/>
          <w:lang w:val="en-US" w:eastAsia="zh-CN"/>
        </w:rPr>
        <w:t>1</w:t>
      </w:r>
    </w:p>
    <w:p w14:paraId="2EB7095F">
      <w:pPr>
        <w:spacing w:line="1437" w:lineRule="exact"/>
        <w:ind w:firstLine="14"/>
      </w:pPr>
      <w:r>
        <w:rPr>
          <w:position w:val="-28"/>
        </w:rPr>
        <w:drawing>
          <wp:inline distT="0" distB="0" distL="0" distR="0">
            <wp:extent cx="2834640" cy="91249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834640" cy="912876"/>
                    </a:xfrm>
                    <a:prstGeom prst="rect">
                      <a:avLst/>
                    </a:prstGeom>
                  </pic:spPr>
                </pic:pic>
              </a:graphicData>
            </a:graphic>
          </wp:inline>
        </w:drawing>
      </w:r>
    </w:p>
    <w:p w14:paraId="56802DAF">
      <w:pPr>
        <w:spacing w:line="245" w:lineRule="auto"/>
        <w:rPr>
          <w:rFonts w:ascii="Arial"/>
          <w:sz w:val="21"/>
        </w:rPr>
      </w:pPr>
    </w:p>
    <w:p w14:paraId="3A613A55">
      <w:pPr>
        <w:spacing w:line="246" w:lineRule="auto"/>
        <w:rPr>
          <w:rFonts w:ascii="Arial"/>
          <w:sz w:val="21"/>
        </w:rPr>
      </w:pPr>
    </w:p>
    <w:p w14:paraId="7DC88D50">
      <w:pPr>
        <w:spacing w:line="246" w:lineRule="auto"/>
        <w:rPr>
          <w:rFonts w:ascii="Arial"/>
          <w:sz w:val="21"/>
        </w:rPr>
      </w:pPr>
    </w:p>
    <w:p w14:paraId="4B2A481F">
      <w:pPr>
        <w:spacing w:line="246" w:lineRule="auto"/>
        <w:rPr>
          <w:rFonts w:ascii="Arial"/>
          <w:sz w:val="21"/>
        </w:rPr>
      </w:pPr>
    </w:p>
    <w:p w14:paraId="51DD49FC">
      <w:pPr>
        <w:spacing w:line="246" w:lineRule="auto"/>
        <w:rPr>
          <w:rFonts w:ascii="Arial"/>
          <w:sz w:val="21"/>
        </w:rPr>
      </w:pPr>
    </w:p>
    <w:p w14:paraId="1CDAEDA2">
      <w:pPr>
        <w:spacing w:line="246" w:lineRule="auto"/>
        <w:rPr>
          <w:rFonts w:ascii="Arial"/>
          <w:sz w:val="21"/>
        </w:rPr>
      </w:pPr>
    </w:p>
    <w:p w14:paraId="3A201E1F">
      <w:pPr>
        <w:spacing w:line="246" w:lineRule="auto"/>
        <w:rPr>
          <w:rFonts w:ascii="Arial"/>
          <w:sz w:val="21"/>
        </w:rPr>
      </w:pPr>
    </w:p>
    <w:p w14:paraId="5EC701D0">
      <w:pPr>
        <w:spacing w:line="246" w:lineRule="auto"/>
        <w:rPr>
          <w:rFonts w:ascii="Arial"/>
          <w:sz w:val="21"/>
        </w:rPr>
      </w:pPr>
    </w:p>
    <w:p w14:paraId="2CB92570">
      <w:pPr>
        <w:spacing w:before="152" w:line="225" w:lineRule="auto"/>
        <w:jc w:val="center"/>
        <w:rPr>
          <w:rFonts w:ascii="黑体" w:hAnsi="黑体" w:eastAsia="黑体" w:cs="黑体"/>
          <w:sz w:val="47"/>
          <w:szCs w:val="47"/>
        </w:rPr>
      </w:pPr>
      <w:r>
        <w:rPr>
          <w:rFonts w:hint="eastAsia" w:ascii="黑体" w:hAnsi="黑体" w:cs="黑体"/>
          <w:b/>
          <w:bCs/>
          <w:sz w:val="47"/>
          <w:szCs w:val="47"/>
          <w:lang w:val="en-US" w:eastAsia="zh-CN"/>
        </w:rPr>
        <w:t>口腔医学技术</w:t>
      </w:r>
      <w:r>
        <w:rPr>
          <w:rFonts w:ascii="黑体" w:hAnsi="黑体" w:eastAsia="黑体" w:cs="黑体"/>
          <w:b/>
          <w:bCs/>
          <w:spacing w:val="2"/>
          <w:sz w:val="47"/>
          <w:szCs w:val="47"/>
        </w:rPr>
        <w:t>专业人才培养方案</w:t>
      </w:r>
    </w:p>
    <w:p w14:paraId="23BE080B">
      <w:pPr>
        <w:spacing w:line="283" w:lineRule="auto"/>
        <w:rPr>
          <w:rFonts w:ascii="Arial"/>
          <w:sz w:val="21"/>
        </w:rPr>
      </w:pPr>
    </w:p>
    <w:p w14:paraId="29735C4E">
      <w:pPr>
        <w:spacing w:line="283" w:lineRule="auto"/>
        <w:rPr>
          <w:rFonts w:ascii="Arial"/>
          <w:sz w:val="21"/>
        </w:rPr>
      </w:pPr>
    </w:p>
    <w:p w14:paraId="51FFCA33">
      <w:pPr>
        <w:spacing w:line="284" w:lineRule="auto"/>
        <w:rPr>
          <w:rFonts w:ascii="Arial"/>
          <w:sz w:val="21"/>
        </w:rPr>
      </w:pPr>
    </w:p>
    <w:p w14:paraId="73B81BC5">
      <w:pPr>
        <w:spacing w:line="284" w:lineRule="auto"/>
        <w:rPr>
          <w:rFonts w:ascii="Arial"/>
          <w:sz w:val="21"/>
        </w:rPr>
      </w:pPr>
    </w:p>
    <w:p w14:paraId="5117AE45">
      <w:pPr>
        <w:spacing w:before="153" w:line="225" w:lineRule="auto"/>
        <w:ind w:left="2954"/>
        <w:rPr>
          <w:rFonts w:ascii="黑体" w:hAnsi="黑体" w:eastAsia="黑体" w:cs="黑体"/>
          <w:sz w:val="47"/>
          <w:szCs w:val="47"/>
        </w:rPr>
      </w:pPr>
      <w:r>
        <w:rPr>
          <w:rFonts w:ascii="黑体" w:hAnsi="黑体" w:eastAsia="黑体" w:cs="黑体"/>
          <w:b/>
          <w:bCs/>
          <w:spacing w:val="-10"/>
          <w:sz w:val="47"/>
          <w:szCs w:val="47"/>
        </w:rPr>
        <w:t>（202</w:t>
      </w:r>
      <w:r>
        <w:rPr>
          <w:rFonts w:hint="eastAsia" w:ascii="黑体" w:hAnsi="黑体" w:eastAsia="黑体" w:cs="黑体"/>
          <w:b/>
          <w:bCs/>
          <w:spacing w:val="-10"/>
          <w:sz w:val="47"/>
          <w:szCs w:val="47"/>
          <w:lang w:val="en-US" w:eastAsia="zh-CN"/>
        </w:rPr>
        <w:t>6</w:t>
      </w:r>
      <w:r>
        <w:rPr>
          <w:rFonts w:ascii="黑体" w:hAnsi="黑体" w:eastAsia="黑体" w:cs="黑体"/>
          <w:b/>
          <w:bCs/>
          <w:spacing w:val="-10"/>
          <w:sz w:val="47"/>
          <w:szCs w:val="47"/>
        </w:rPr>
        <w:t>级）</w:t>
      </w:r>
    </w:p>
    <w:p w14:paraId="00FFDE0A">
      <w:pPr>
        <w:spacing w:line="244" w:lineRule="auto"/>
        <w:rPr>
          <w:rFonts w:ascii="Arial"/>
          <w:sz w:val="21"/>
        </w:rPr>
      </w:pPr>
    </w:p>
    <w:p w14:paraId="14201E0B">
      <w:pPr>
        <w:spacing w:line="244" w:lineRule="auto"/>
        <w:rPr>
          <w:rFonts w:ascii="Arial"/>
          <w:sz w:val="21"/>
        </w:rPr>
      </w:pPr>
    </w:p>
    <w:p w14:paraId="7D4CC6D2">
      <w:pPr>
        <w:spacing w:line="244" w:lineRule="auto"/>
        <w:rPr>
          <w:rFonts w:ascii="Arial"/>
          <w:sz w:val="21"/>
        </w:rPr>
      </w:pPr>
    </w:p>
    <w:p w14:paraId="522DDA55">
      <w:pPr>
        <w:spacing w:line="244" w:lineRule="auto"/>
        <w:rPr>
          <w:rFonts w:ascii="Arial"/>
          <w:sz w:val="21"/>
        </w:rPr>
      </w:pPr>
    </w:p>
    <w:p w14:paraId="7F4E9B36">
      <w:pPr>
        <w:spacing w:line="244" w:lineRule="auto"/>
        <w:rPr>
          <w:rFonts w:ascii="Arial"/>
          <w:sz w:val="21"/>
        </w:rPr>
      </w:pPr>
    </w:p>
    <w:p w14:paraId="7F672C10">
      <w:pPr>
        <w:spacing w:line="244" w:lineRule="auto"/>
        <w:rPr>
          <w:rFonts w:ascii="Arial"/>
          <w:sz w:val="21"/>
        </w:rPr>
      </w:pPr>
    </w:p>
    <w:p w14:paraId="37C9F959">
      <w:pPr>
        <w:spacing w:line="245" w:lineRule="auto"/>
        <w:rPr>
          <w:rFonts w:ascii="Arial"/>
          <w:sz w:val="21"/>
        </w:rPr>
      </w:pPr>
    </w:p>
    <w:p w14:paraId="01B3F5FD">
      <w:pPr>
        <w:spacing w:line="245" w:lineRule="auto"/>
        <w:rPr>
          <w:rFonts w:ascii="Arial"/>
          <w:sz w:val="21"/>
        </w:rPr>
      </w:pPr>
    </w:p>
    <w:p w14:paraId="10C8AFE3">
      <w:pPr>
        <w:spacing w:line="245" w:lineRule="auto"/>
        <w:rPr>
          <w:rFonts w:ascii="Arial"/>
          <w:sz w:val="21"/>
        </w:rPr>
      </w:pPr>
    </w:p>
    <w:p w14:paraId="52E67786">
      <w:pPr>
        <w:spacing w:line="245" w:lineRule="auto"/>
        <w:rPr>
          <w:rFonts w:ascii="Arial"/>
          <w:sz w:val="21"/>
        </w:rPr>
      </w:pPr>
    </w:p>
    <w:p w14:paraId="5E660743">
      <w:pPr>
        <w:spacing w:line="245" w:lineRule="auto"/>
        <w:rPr>
          <w:rFonts w:ascii="Arial"/>
          <w:sz w:val="21"/>
        </w:rPr>
      </w:pPr>
    </w:p>
    <w:p w14:paraId="14BD022A">
      <w:pPr>
        <w:spacing w:line="245" w:lineRule="auto"/>
        <w:rPr>
          <w:rFonts w:ascii="Arial"/>
          <w:sz w:val="21"/>
        </w:rPr>
      </w:pPr>
    </w:p>
    <w:p w14:paraId="2B36202E">
      <w:pPr>
        <w:spacing w:line="245" w:lineRule="auto"/>
        <w:rPr>
          <w:rFonts w:ascii="Arial"/>
          <w:sz w:val="21"/>
        </w:rPr>
      </w:pPr>
    </w:p>
    <w:p w14:paraId="4326D2FF">
      <w:pPr>
        <w:spacing w:line="245" w:lineRule="auto"/>
        <w:rPr>
          <w:rFonts w:ascii="Arial"/>
          <w:sz w:val="21"/>
        </w:rPr>
      </w:pPr>
    </w:p>
    <w:p w14:paraId="5060CD14">
      <w:pPr>
        <w:spacing w:line="245" w:lineRule="auto"/>
        <w:rPr>
          <w:rFonts w:ascii="Arial"/>
          <w:sz w:val="21"/>
        </w:rPr>
      </w:pPr>
    </w:p>
    <w:p w14:paraId="2535BDAA">
      <w:pPr>
        <w:spacing w:line="245" w:lineRule="auto"/>
        <w:rPr>
          <w:rFonts w:ascii="Arial"/>
          <w:sz w:val="21"/>
        </w:rPr>
      </w:pPr>
    </w:p>
    <w:p w14:paraId="126ABBCF">
      <w:pPr>
        <w:spacing w:line="245" w:lineRule="auto"/>
        <w:rPr>
          <w:rFonts w:ascii="Arial"/>
          <w:sz w:val="21"/>
        </w:rPr>
      </w:pPr>
    </w:p>
    <w:p w14:paraId="7A60DBDF">
      <w:pPr>
        <w:spacing w:line="245" w:lineRule="auto"/>
        <w:rPr>
          <w:rFonts w:ascii="Arial"/>
          <w:sz w:val="21"/>
        </w:rPr>
      </w:pPr>
    </w:p>
    <w:p w14:paraId="3355D41E">
      <w:pPr>
        <w:spacing w:before="114" w:line="228" w:lineRule="auto"/>
        <w:ind w:left="3235"/>
        <w:rPr>
          <w:rFonts w:hint="eastAsia" w:ascii="黑体" w:hAnsi="黑体" w:eastAsia="黑体" w:cs="黑体"/>
          <w:sz w:val="35"/>
          <w:szCs w:val="35"/>
          <w:lang w:val="en-US" w:eastAsia="zh-CN"/>
        </w:rPr>
        <w:sectPr>
          <w:headerReference r:id="rId5" w:type="default"/>
          <w:footerReference r:id="rId6" w:type="default"/>
          <w:pgSz w:w="11906" w:h="16839"/>
          <w:pgMar w:top="400" w:right="1785" w:bottom="1127" w:left="1785" w:header="0" w:footer="848" w:gutter="0"/>
          <w:pgBorders>
            <w:top w:val="none" w:sz="0" w:space="0"/>
            <w:left w:val="none" w:sz="0" w:space="0"/>
            <w:bottom w:val="none" w:sz="0" w:space="0"/>
            <w:right w:val="none" w:sz="0" w:space="0"/>
          </w:pgBorders>
          <w:cols w:space="720" w:num="1"/>
        </w:sectPr>
      </w:pPr>
      <w:r>
        <w:rPr>
          <w:rFonts w:hint="eastAsia" w:ascii="黑体" w:hAnsi="黑体" w:cs="黑体"/>
          <w:spacing w:val="-1"/>
          <w:sz w:val="35"/>
          <w:szCs w:val="35"/>
          <w:lang w:val="en-US" w:eastAsia="zh-CN"/>
        </w:rPr>
        <w:t>2026</w:t>
      </w:r>
      <w:r>
        <w:rPr>
          <w:rFonts w:ascii="黑体" w:hAnsi="黑体" w:eastAsia="黑体" w:cs="黑体"/>
          <w:spacing w:val="-71"/>
          <w:sz w:val="35"/>
          <w:szCs w:val="35"/>
        </w:rPr>
        <w:t xml:space="preserve"> </w:t>
      </w:r>
      <w:r>
        <w:rPr>
          <w:rFonts w:ascii="黑体" w:hAnsi="黑体" w:eastAsia="黑体" w:cs="黑体"/>
          <w:spacing w:val="-1"/>
          <w:sz w:val="35"/>
          <w:szCs w:val="35"/>
        </w:rPr>
        <w:t>年</w:t>
      </w:r>
      <w:r>
        <w:rPr>
          <w:rFonts w:ascii="黑体" w:hAnsi="黑体" w:eastAsia="黑体" w:cs="黑体"/>
          <w:spacing w:val="-71"/>
          <w:sz w:val="35"/>
          <w:szCs w:val="35"/>
        </w:rPr>
        <w:t xml:space="preserve"> </w:t>
      </w:r>
      <w:r>
        <w:rPr>
          <w:rFonts w:hint="eastAsia" w:ascii="黑体" w:hAnsi="黑体" w:cs="黑体"/>
          <w:spacing w:val="-1"/>
          <w:sz w:val="35"/>
          <w:szCs w:val="35"/>
          <w:lang w:val="en-US" w:eastAsia="zh-CN"/>
        </w:rPr>
        <w:t>6</w:t>
      </w:r>
      <w:r>
        <w:rPr>
          <w:rFonts w:ascii="黑体" w:hAnsi="黑体" w:eastAsia="黑体" w:cs="黑体"/>
          <w:spacing w:val="-64"/>
          <w:sz w:val="35"/>
          <w:szCs w:val="35"/>
        </w:rPr>
        <w:t xml:space="preserve"> </w:t>
      </w:r>
      <w:r>
        <w:rPr>
          <w:rFonts w:ascii="黑体" w:hAnsi="黑体" w:eastAsia="黑体" w:cs="黑体"/>
          <w:spacing w:val="-1"/>
          <w:sz w:val="35"/>
          <w:szCs w:val="35"/>
        </w:rPr>
        <w:t>月</w:t>
      </w:r>
    </w:p>
    <w:sdt>
      <w:sdtPr>
        <w:rPr>
          <w:rFonts w:ascii="宋体" w:hAnsi="宋体" w:eastAsia="宋体" w:cs="Arial"/>
          <w:b/>
          <w:snapToGrid w:val="0"/>
          <w:color w:val="000000"/>
          <w:kern w:val="0"/>
          <w:sz w:val="21"/>
          <w:szCs w:val="21"/>
          <w:lang w:val="en-US" w:eastAsia="en-US" w:bidi="ar-SA"/>
        </w:rPr>
        <w:id w:val="147458248"/>
        <w15:color w:val="DBDBDB"/>
        <w:docPartObj>
          <w:docPartGallery w:val="Table of Contents"/>
          <w:docPartUnique/>
        </w:docPartObj>
      </w:sdtPr>
      <w:sdtEndPr>
        <w:rPr>
          <w:rFonts w:hint="eastAsia" w:ascii="黑体" w:hAnsi="黑体" w:eastAsia="黑体" w:cs="黑体"/>
          <w:b/>
          <w:snapToGrid w:val="0"/>
          <w:color w:val="000000"/>
          <w:kern w:val="0"/>
          <w:sz w:val="28"/>
          <w:szCs w:val="35"/>
          <w:lang w:val="en-US" w:eastAsia="zh-CN" w:bidi="ar-SA"/>
        </w:rPr>
      </w:sdtEndPr>
      <w:sdtContent>
        <w:p w14:paraId="7212BD59">
          <w:pPr>
            <w:spacing w:before="0" w:beforeLines="0" w:after="0" w:afterLines="0" w:line="240" w:lineRule="auto"/>
            <w:ind w:left="0" w:leftChars="0" w:right="0" w:rightChars="0" w:firstLine="0" w:firstLineChars="0"/>
            <w:jc w:val="center"/>
            <w:rPr>
              <w:rFonts w:ascii="宋体" w:hAnsi="宋体" w:eastAsia="宋体" w:cs="Arial"/>
              <w:b/>
              <w:snapToGrid w:val="0"/>
              <w:color w:val="000000"/>
              <w:kern w:val="0"/>
              <w:sz w:val="21"/>
              <w:szCs w:val="21"/>
              <w:lang w:val="en-US" w:eastAsia="en-US" w:bidi="ar-SA"/>
            </w:rPr>
          </w:pPr>
        </w:p>
        <w:p w14:paraId="25C1C659">
          <w:pPr>
            <w:spacing w:before="0" w:beforeLines="0" w:after="0" w:afterLines="0" w:line="240" w:lineRule="auto"/>
            <w:ind w:left="0" w:leftChars="0" w:right="0" w:rightChars="0" w:firstLine="0" w:firstLineChars="0"/>
            <w:jc w:val="center"/>
            <w:rPr>
              <w:rFonts w:hint="eastAsia" w:ascii="黑体" w:hAnsi="黑体" w:eastAsia="黑体" w:cs="黑体"/>
              <w:sz w:val="32"/>
              <w:szCs w:val="32"/>
            </w:rPr>
          </w:pPr>
          <w:r>
            <w:rPr>
              <w:rFonts w:hint="eastAsia" w:ascii="黑体" w:hAnsi="黑体" w:eastAsia="黑体" w:cs="黑体"/>
              <w:sz w:val="32"/>
              <w:szCs w:val="32"/>
            </w:rPr>
            <w:t>目录</w:t>
          </w:r>
        </w:p>
        <w:p w14:paraId="5E0388EA">
          <w:pPr>
            <w:pStyle w:val="6"/>
            <w:tabs>
              <w:tab w:val="right" w:leader="dot" w:pos="8336"/>
              <w:tab w:val="clear" w:pos="9016"/>
            </w:tabs>
          </w:pPr>
          <w:r>
            <w:rPr>
              <w:rFonts w:hint="eastAsia" w:ascii="黑体" w:hAnsi="黑体" w:eastAsia="黑体" w:cs="黑体"/>
              <w:sz w:val="35"/>
              <w:szCs w:val="35"/>
              <w:lang w:val="en-US" w:eastAsia="zh-CN"/>
            </w:rPr>
            <w:fldChar w:fldCharType="begin"/>
          </w:r>
          <w:r>
            <w:rPr>
              <w:rFonts w:hint="eastAsia" w:ascii="黑体" w:hAnsi="黑体" w:eastAsia="黑体" w:cs="黑体"/>
              <w:sz w:val="35"/>
              <w:szCs w:val="35"/>
              <w:lang w:val="en-US" w:eastAsia="zh-CN"/>
            </w:rPr>
            <w:instrText xml:space="preserve">TOC \o "1-2" \h \u </w:instrText>
          </w:r>
          <w:r>
            <w:rPr>
              <w:rFonts w:hint="eastAsia" w:ascii="黑体" w:hAnsi="黑体" w:eastAsia="黑体" w:cs="黑体"/>
              <w:sz w:val="35"/>
              <w:szCs w:val="35"/>
              <w:lang w:val="en-US" w:eastAsia="zh-CN"/>
            </w:rPr>
            <w:fldChar w:fldCharType="separate"/>
          </w: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_Toc6833 </w:instrText>
          </w:r>
          <w:r>
            <w:rPr>
              <w:rFonts w:hint="eastAsia" w:ascii="黑体" w:hAnsi="黑体" w:eastAsia="黑体" w:cs="黑体"/>
              <w:szCs w:val="35"/>
              <w:lang w:val="en-US" w:eastAsia="zh-CN"/>
            </w:rPr>
            <w:fldChar w:fldCharType="separate"/>
          </w:r>
          <w:r>
            <w:t>一、专业名称及代码</w:t>
          </w:r>
          <w:r>
            <w:tab/>
          </w:r>
          <w:r>
            <w:fldChar w:fldCharType="begin"/>
          </w:r>
          <w:r>
            <w:instrText xml:space="preserve"> PAGEREF _Toc6833 \h </w:instrText>
          </w:r>
          <w:r>
            <w:fldChar w:fldCharType="separate"/>
          </w:r>
          <w:r>
            <w:t>1</w:t>
          </w:r>
          <w:r>
            <w:fldChar w:fldCharType="end"/>
          </w:r>
          <w:r>
            <w:rPr>
              <w:rFonts w:hint="eastAsia" w:ascii="黑体" w:hAnsi="黑体" w:eastAsia="黑体" w:cs="黑体"/>
              <w:szCs w:val="35"/>
              <w:lang w:val="en-US" w:eastAsia="zh-CN"/>
            </w:rPr>
            <w:fldChar w:fldCharType="end"/>
          </w:r>
        </w:p>
        <w:p w14:paraId="320E9E31">
          <w:pPr>
            <w:pStyle w:val="6"/>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_Toc17581 </w:instrText>
          </w:r>
          <w:r>
            <w:rPr>
              <w:rFonts w:hint="eastAsia" w:ascii="黑体" w:hAnsi="黑体" w:eastAsia="黑体" w:cs="黑体"/>
              <w:szCs w:val="35"/>
              <w:lang w:val="en-US" w:eastAsia="zh-CN"/>
            </w:rPr>
            <w:fldChar w:fldCharType="separate"/>
          </w:r>
          <w:r>
            <w:t>二、入学要求</w:t>
          </w:r>
          <w:r>
            <w:tab/>
          </w:r>
          <w:r>
            <w:fldChar w:fldCharType="begin"/>
          </w:r>
          <w:r>
            <w:instrText xml:space="preserve"> PAGEREF _Toc17581 \h </w:instrText>
          </w:r>
          <w:r>
            <w:fldChar w:fldCharType="separate"/>
          </w:r>
          <w:r>
            <w:t>1</w:t>
          </w:r>
          <w:r>
            <w:fldChar w:fldCharType="end"/>
          </w:r>
          <w:r>
            <w:rPr>
              <w:rFonts w:hint="eastAsia" w:ascii="黑体" w:hAnsi="黑体" w:eastAsia="黑体" w:cs="黑体"/>
              <w:szCs w:val="35"/>
              <w:lang w:val="en-US" w:eastAsia="zh-CN"/>
            </w:rPr>
            <w:fldChar w:fldCharType="end"/>
          </w:r>
        </w:p>
        <w:p w14:paraId="334B9EE9">
          <w:pPr>
            <w:pStyle w:val="6"/>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_Toc18092 </w:instrText>
          </w:r>
          <w:r>
            <w:rPr>
              <w:rFonts w:hint="eastAsia" w:ascii="黑体" w:hAnsi="黑体" w:eastAsia="黑体" w:cs="黑体"/>
              <w:szCs w:val="35"/>
              <w:lang w:val="en-US" w:eastAsia="zh-CN"/>
            </w:rPr>
            <w:fldChar w:fldCharType="separate"/>
          </w:r>
          <w:r>
            <w:t>三、修业年限</w:t>
          </w:r>
          <w:r>
            <w:tab/>
          </w:r>
          <w:r>
            <w:fldChar w:fldCharType="begin"/>
          </w:r>
          <w:r>
            <w:instrText xml:space="preserve"> PAGEREF _Toc18092 \h </w:instrText>
          </w:r>
          <w:r>
            <w:fldChar w:fldCharType="separate"/>
          </w:r>
          <w:r>
            <w:t>1</w:t>
          </w:r>
          <w:r>
            <w:fldChar w:fldCharType="end"/>
          </w:r>
          <w:r>
            <w:rPr>
              <w:rFonts w:hint="eastAsia" w:ascii="黑体" w:hAnsi="黑体" w:eastAsia="黑体" w:cs="黑体"/>
              <w:szCs w:val="35"/>
              <w:lang w:val="en-US" w:eastAsia="zh-CN"/>
            </w:rPr>
            <w:fldChar w:fldCharType="end"/>
          </w:r>
        </w:p>
        <w:p w14:paraId="0A6566B5">
          <w:pPr>
            <w:pStyle w:val="6"/>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_Toc6980 </w:instrText>
          </w:r>
          <w:r>
            <w:rPr>
              <w:rFonts w:hint="eastAsia" w:ascii="黑体" w:hAnsi="黑体" w:eastAsia="黑体" w:cs="黑体"/>
              <w:szCs w:val="35"/>
              <w:lang w:val="en-US" w:eastAsia="zh-CN"/>
            </w:rPr>
            <w:fldChar w:fldCharType="separate"/>
          </w:r>
          <w:r>
            <w:rPr>
              <w:rFonts w:hint="eastAsia"/>
            </w:rPr>
            <w:t>四、</w:t>
          </w:r>
          <w:r>
            <w:t>职业面向</w:t>
          </w:r>
          <w:r>
            <w:tab/>
          </w:r>
          <w:r>
            <w:fldChar w:fldCharType="begin"/>
          </w:r>
          <w:r>
            <w:instrText xml:space="preserve"> PAGEREF _Toc6980 \h </w:instrText>
          </w:r>
          <w:r>
            <w:fldChar w:fldCharType="separate"/>
          </w:r>
          <w:r>
            <w:t>1</w:t>
          </w:r>
          <w:r>
            <w:fldChar w:fldCharType="end"/>
          </w:r>
          <w:r>
            <w:rPr>
              <w:rFonts w:hint="eastAsia" w:ascii="黑体" w:hAnsi="黑体" w:eastAsia="黑体" w:cs="黑体"/>
              <w:szCs w:val="35"/>
              <w:lang w:val="en-US" w:eastAsia="zh-CN"/>
            </w:rPr>
            <w:fldChar w:fldCharType="end"/>
          </w:r>
        </w:p>
        <w:p w14:paraId="7C2F95CD">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_Toc15984 </w:instrText>
          </w:r>
          <w:r>
            <w:rPr>
              <w:rFonts w:hint="eastAsia" w:ascii="黑体" w:hAnsi="黑体" w:eastAsia="黑体" w:cs="黑体"/>
              <w:szCs w:val="35"/>
              <w:lang w:val="en-US" w:eastAsia="zh-CN"/>
            </w:rPr>
            <w:fldChar w:fldCharType="separate"/>
          </w:r>
          <w:r>
            <w:rPr>
              <w:rFonts w:hint="eastAsia"/>
              <w:lang w:eastAsia="zh-CN"/>
            </w:rPr>
            <w:t>（一）职业领域</w:t>
          </w:r>
          <w:r>
            <w:tab/>
          </w:r>
          <w:r>
            <w:fldChar w:fldCharType="begin"/>
          </w:r>
          <w:r>
            <w:instrText xml:space="preserve"> PAGEREF _Toc15984 \h </w:instrText>
          </w:r>
          <w:r>
            <w:fldChar w:fldCharType="separate"/>
          </w:r>
          <w:r>
            <w:t>1</w:t>
          </w:r>
          <w:r>
            <w:fldChar w:fldCharType="end"/>
          </w:r>
          <w:r>
            <w:rPr>
              <w:rFonts w:hint="eastAsia" w:ascii="黑体" w:hAnsi="黑体" w:eastAsia="黑体" w:cs="黑体"/>
              <w:szCs w:val="35"/>
              <w:lang w:val="en-US" w:eastAsia="zh-CN"/>
            </w:rPr>
            <w:fldChar w:fldCharType="end"/>
          </w:r>
        </w:p>
        <w:p w14:paraId="0920B723">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_Toc8197 </w:instrText>
          </w:r>
          <w:r>
            <w:rPr>
              <w:rFonts w:hint="eastAsia" w:ascii="黑体" w:hAnsi="黑体" w:eastAsia="黑体" w:cs="黑体"/>
              <w:szCs w:val="35"/>
              <w:lang w:val="en-US" w:eastAsia="zh-CN"/>
            </w:rPr>
            <w:fldChar w:fldCharType="separate"/>
          </w:r>
          <w:r>
            <w:rPr>
              <w:rFonts w:hint="eastAsia"/>
              <w:lang w:eastAsia="zh-CN"/>
            </w:rPr>
            <w:t>（</w:t>
          </w:r>
          <w:r>
            <w:rPr>
              <w:rFonts w:hint="eastAsia"/>
              <w:lang w:val="en-US" w:eastAsia="zh-CN"/>
            </w:rPr>
            <w:t>二</w:t>
          </w:r>
          <w:r>
            <w:rPr>
              <w:rFonts w:hint="eastAsia"/>
              <w:lang w:eastAsia="zh-CN"/>
            </w:rPr>
            <w:t>）</w:t>
          </w:r>
          <w:r>
            <w:t>就业岗位及相应职业能力描述</w:t>
          </w:r>
          <w:r>
            <w:tab/>
          </w:r>
          <w:r>
            <w:fldChar w:fldCharType="begin"/>
          </w:r>
          <w:r>
            <w:instrText xml:space="preserve"> PAGEREF _Toc8197 \h </w:instrText>
          </w:r>
          <w:r>
            <w:fldChar w:fldCharType="separate"/>
          </w:r>
          <w:r>
            <w:t>1</w:t>
          </w:r>
          <w:r>
            <w:fldChar w:fldCharType="end"/>
          </w:r>
          <w:r>
            <w:rPr>
              <w:rFonts w:hint="eastAsia" w:ascii="黑体" w:hAnsi="黑体" w:eastAsia="黑体" w:cs="黑体"/>
              <w:szCs w:val="35"/>
              <w:lang w:val="en-US" w:eastAsia="zh-CN"/>
            </w:rPr>
            <w:fldChar w:fldCharType="end"/>
          </w:r>
        </w:p>
        <w:p w14:paraId="38CB443D">
          <w:pPr>
            <w:pStyle w:val="6"/>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_Toc20525 </w:instrText>
          </w:r>
          <w:r>
            <w:rPr>
              <w:rFonts w:hint="eastAsia" w:ascii="黑体" w:hAnsi="黑体" w:eastAsia="黑体" w:cs="黑体"/>
              <w:szCs w:val="35"/>
              <w:lang w:val="en-US" w:eastAsia="zh-CN"/>
            </w:rPr>
            <w:fldChar w:fldCharType="separate"/>
          </w:r>
          <w:r>
            <w:t>五、培养目标及培养规格</w:t>
          </w:r>
          <w:r>
            <w:tab/>
          </w:r>
          <w:r>
            <w:fldChar w:fldCharType="begin"/>
          </w:r>
          <w:r>
            <w:instrText xml:space="preserve"> PAGEREF _Toc20525 \h </w:instrText>
          </w:r>
          <w:r>
            <w:fldChar w:fldCharType="separate"/>
          </w:r>
          <w:r>
            <w:t>3</w:t>
          </w:r>
          <w:r>
            <w:fldChar w:fldCharType="end"/>
          </w:r>
          <w:r>
            <w:rPr>
              <w:rFonts w:hint="eastAsia" w:ascii="黑体" w:hAnsi="黑体" w:eastAsia="黑体" w:cs="黑体"/>
              <w:szCs w:val="35"/>
              <w:lang w:val="en-US" w:eastAsia="zh-CN"/>
            </w:rPr>
            <w:fldChar w:fldCharType="end"/>
          </w:r>
        </w:p>
        <w:p w14:paraId="0281D02F">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_Toc24171 </w:instrText>
          </w:r>
          <w:r>
            <w:rPr>
              <w:rFonts w:hint="eastAsia" w:ascii="黑体" w:hAnsi="黑体" w:eastAsia="黑体" w:cs="黑体"/>
              <w:szCs w:val="35"/>
              <w:lang w:val="en-US" w:eastAsia="zh-CN"/>
            </w:rPr>
            <w:fldChar w:fldCharType="separate"/>
          </w:r>
          <w:r>
            <w:t>（一）培养目标</w:t>
          </w:r>
          <w:r>
            <w:tab/>
          </w:r>
          <w:r>
            <w:fldChar w:fldCharType="begin"/>
          </w:r>
          <w:r>
            <w:instrText xml:space="preserve"> PAGEREF _Toc24171 \h </w:instrText>
          </w:r>
          <w:r>
            <w:fldChar w:fldCharType="separate"/>
          </w:r>
          <w:r>
            <w:t>3</w:t>
          </w:r>
          <w:r>
            <w:fldChar w:fldCharType="end"/>
          </w:r>
          <w:r>
            <w:rPr>
              <w:rFonts w:hint="eastAsia" w:ascii="黑体" w:hAnsi="黑体" w:eastAsia="黑体" w:cs="黑体"/>
              <w:szCs w:val="35"/>
              <w:lang w:val="en-US" w:eastAsia="zh-CN"/>
            </w:rPr>
            <w:fldChar w:fldCharType="end"/>
          </w:r>
        </w:p>
        <w:p w14:paraId="7D8BE2C8">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_Toc16190 </w:instrText>
          </w:r>
          <w:r>
            <w:rPr>
              <w:rFonts w:hint="eastAsia" w:ascii="黑体" w:hAnsi="黑体" w:eastAsia="黑体" w:cs="黑体"/>
              <w:szCs w:val="35"/>
              <w:lang w:val="en-US" w:eastAsia="zh-CN"/>
            </w:rPr>
            <w:fldChar w:fldCharType="separate"/>
          </w:r>
          <w:r>
            <w:t>（二）培养规格</w:t>
          </w:r>
          <w:r>
            <w:tab/>
          </w:r>
          <w:r>
            <w:fldChar w:fldCharType="begin"/>
          </w:r>
          <w:r>
            <w:instrText xml:space="preserve"> PAGEREF _Toc16190 \h </w:instrText>
          </w:r>
          <w:r>
            <w:fldChar w:fldCharType="separate"/>
          </w:r>
          <w:r>
            <w:t>3</w:t>
          </w:r>
          <w:r>
            <w:fldChar w:fldCharType="end"/>
          </w:r>
          <w:r>
            <w:rPr>
              <w:rFonts w:hint="eastAsia" w:ascii="黑体" w:hAnsi="黑体" w:eastAsia="黑体" w:cs="黑体"/>
              <w:szCs w:val="35"/>
              <w:lang w:val="en-US" w:eastAsia="zh-CN"/>
            </w:rPr>
            <w:fldChar w:fldCharType="end"/>
          </w:r>
        </w:p>
        <w:p w14:paraId="64DD3E2B">
          <w:pPr>
            <w:pStyle w:val="6"/>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_Toc781 </w:instrText>
          </w:r>
          <w:r>
            <w:rPr>
              <w:rFonts w:hint="eastAsia" w:ascii="黑体" w:hAnsi="黑体" w:eastAsia="黑体" w:cs="黑体"/>
              <w:szCs w:val="35"/>
              <w:lang w:val="en-US" w:eastAsia="zh-CN"/>
            </w:rPr>
            <w:fldChar w:fldCharType="separate"/>
          </w:r>
          <w:r>
            <w:t>六、课程设置及要求</w:t>
          </w:r>
          <w:r>
            <w:tab/>
          </w:r>
          <w:r>
            <w:fldChar w:fldCharType="begin"/>
          </w:r>
          <w:r>
            <w:instrText xml:space="preserve"> PAGEREF _Toc781 \h </w:instrText>
          </w:r>
          <w:r>
            <w:fldChar w:fldCharType="separate"/>
          </w:r>
          <w:r>
            <w:t>6</w:t>
          </w:r>
          <w:r>
            <w:fldChar w:fldCharType="end"/>
          </w:r>
          <w:r>
            <w:rPr>
              <w:rFonts w:hint="eastAsia" w:ascii="黑体" w:hAnsi="黑体" w:eastAsia="黑体" w:cs="黑体"/>
              <w:szCs w:val="35"/>
              <w:lang w:val="en-US" w:eastAsia="zh-CN"/>
            </w:rPr>
            <w:fldChar w:fldCharType="end"/>
          </w:r>
        </w:p>
        <w:p w14:paraId="31045111">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_Toc10746 </w:instrText>
          </w:r>
          <w:r>
            <w:rPr>
              <w:rFonts w:hint="eastAsia" w:ascii="黑体" w:hAnsi="黑体" w:eastAsia="黑体" w:cs="黑体"/>
              <w:szCs w:val="35"/>
              <w:lang w:val="en-US" w:eastAsia="zh-CN"/>
            </w:rPr>
            <w:fldChar w:fldCharType="separate"/>
          </w:r>
          <w:r>
            <w:t>（一）公共基础课程</w:t>
          </w:r>
          <w:r>
            <w:tab/>
          </w:r>
          <w:r>
            <w:fldChar w:fldCharType="begin"/>
          </w:r>
          <w:r>
            <w:instrText xml:space="preserve"> PAGEREF _Toc10746 \h </w:instrText>
          </w:r>
          <w:r>
            <w:fldChar w:fldCharType="separate"/>
          </w:r>
          <w:r>
            <w:t>6</w:t>
          </w:r>
          <w:r>
            <w:fldChar w:fldCharType="end"/>
          </w:r>
          <w:r>
            <w:rPr>
              <w:rFonts w:hint="eastAsia" w:ascii="黑体" w:hAnsi="黑体" w:eastAsia="黑体" w:cs="黑体"/>
              <w:szCs w:val="35"/>
              <w:lang w:val="en-US" w:eastAsia="zh-CN"/>
            </w:rPr>
            <w:fldChar w:fldCharType="end"/>
          </w:r>
        </w:p>
        <w:p w14:paraId="230910E1">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_Toc11926 </w:instrText>
          </w:r>
          <w:r>
            <w:rPr>
              <w:rFonts w:hint="eastAsia" w:ascii="黑体" w:hAnsi="黑体" w:eastAsia="黑体" w:cs="黑体"/>
              <w:szCs w:val="35"/>
              <w:lang w:val="en-US" w:eastAsia="zh-CN"/>
            </w:rPr>
            <w:fldChar w:fldCharType="separate"/>
          </w:r>
          <w:r>
            <w:t>（二）专业课程</w:t>
          </w:r>
          <w:r>
            <w:tab/>
          </w:r>
          <w:r>
            <w:fldChar w:fldCharType="begin"/>
          </w:r>
          <w:r>
            <w:instrText xml:space="preserve"> PAGEREF _Toc11926 \h </w:instrText>
          </w:r>
          <w:r>
            <w:fldChar w:fldCharType="separate"/>
          </w:r>
          <w:r>
            <w:t>8</w:t>
          </w:r>
          <w:r>
            <w:fldChar w:fldCharType="end"/>
          </w:r>
          <w:r>
            <w:rPr>
              <w:rFonts w:hint="eastAsia" w:ascii="黑体" w:hAnsi="黑体" w:eastAsia="黑体" w:cs="黑体"/>
              <w:szCs w:val="35"/>
              <w:lang w:val="en-US" w:eastAsia="zh-CN"/>
            </w:rPr>
            <w:fldChar w:fldCharType="end"/>
          </w:r>
        </w:p>
        <w:p w14:paraId="365A0704">
          <w:pPr>
            <w:pStyle w:val="6"/>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_Toc838 </w:instrText>
          </w:r>
          <w:r>
            <w:rPr>
              <w:rFonts w:hint="eastAsia" w:ascii="黑体" w:hAnsi="黑体" w:eastAsia="黑体" w:cs="黑体"/>
              <w:szCs w:val="35"/>
              <w:lang w:val="en-US" w:eastAsia="zh-CN"/>
            </w:rPr>
            <w:fldChar w:fldCharType="separate"/>
          </w:r>
          <w:r>
            <w:t>七、教学进程总体安排</w:t>
          </w:r>
          <w:r>
            <w:tab/>
          </w:r>
          <w:r>
            <w:fldChar w:fldCharType="begin"/>
          </w:r>
          <w:r>
            <w:instrText xml:space="preserve"> PAGEREF _Toc838 \h </w:instrText>
          </w:r>
          <w:r>
            <w:fldChar w:fldCharType="separate"/>
          </w:r>
          <w:r>
            <w:t>34</w:t>
          </w:r>
          <w:r>
            <w:fldChar w:fldCharType="end"/>
          </w:r>
          <w:r>
            <w:rPr>
              <w:rFonts w:hint="eastAsia" w:ascii="黑体" w:hAnsi="黑体" w:eastAsia="黑体" w:cs="黑体"/>
              <w:szCs w:val="35"/>
              <w:lang w:val="en-US" w:eastAsia="zh-CN"/>
            </w:rPr>
            <w:fldChar w:fldCharType="end"/>
          </w:r>
        </w:p>
        <w:p w14:paraId="11BC91AC">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_Toc12697 </w:instrText>
          </w:r>
          <w:r>
            <w:rPr>
              <w:rFonts w:hint="eastAsia" w:ascii="黑体" w:hAnsi="黑体" w:eastAsia="黑体" w:cs="黑体"/>
              <w:szCs w:val="35"/>
              <w:lang w:val="en-US" w:eastAsia="zh-CN"/>
            </w:rPr>
            <w:fldChar w:fldCharType="separate"/>
          </w:r>
          <w:r>
            <w:t>（一）教学周数安排表</w:t>
          </w:r>
          <w:r>
            <w:tab/>
          </w:r>
          <w:r>
            <w:fldChar w:fldCharType="begin"/>
          </w:r>
          <w:r>
            <w:instrText xml:space="preserve"> PAGEREF _Toc12697 \h </w:instrText>
          </w:r>
          <w:r>
            <w:fldChar w:fldCharType="separate"/>
          </w:r>
          <w:r>
            <w:t>34</w:t>
          </w:r>
          <w:r>
            <w:fldChar w:fldCharType="end"/>
          </w:r>
          <w:r>
            <w:rPr>
              <w:rFonts w:hint="eastAsia" w:ascii="黑体" w:hAnsi="黑体" w:eastAsia="黑体" w:cs="黑体"/>
              <w:szCs w:val="35"/>
              <w:lang w:val="en-US" w:eastAsia="zh-CN"/>
            </w:rPr>
            <w:fldChar w:fldCharType="end"/>
          </w:r>
        </w:p>
        <w:p w14:paraId="707AF929">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_Toc26024 </w:instrText>
          </w:r>
          <w:r>
            <w:rPr>
              <w:rFonts w:hint="eastAsia" w:ascii="黑体" w:hAnsi="黑体" w:eastAsia="黑体" w:cs="黑体"/>
              <w:szCs w:val="35"/>
              <w:lang w:val="en-US" w:eastAsia="zh-CN"/>
            </w:rPr>
            <w:fldChar w:fldCharType="separate"/>
          </w:r>
          <w:r>
            <w:rPr>
              <w:rFonts w:hint="eastAsia"/>
              <w:lang w:val="en-US" w:eastAsia="zh-CN"/>
            </w:rPr>
            <w:t>（二）教学计划进程表</w:t>
          </w:r>
          <w:r>
            <w:tab/>
          </w:r>
          <w:r>
            <w:fldChar w:fldCharType="begin"/>
          </w:r>
          <w:r>
            <w:instrText xml:space="preserve"> PAGEREF _Toc26024 \h </w:instrText>
          </w:r>
          <w:r>
            <w:fldChar w:fldCharType="separate"/>
          </w:r>
          <w:r>
            <w:t>35</w:t>
          </w:r>
          <w:r>
            <w:fldChar w:fldCharType="end"/>
          </w:r>
          <w:r>
            <w:rPr>
              <w:rFonts w:hint="eastAsia" w:ascii="黑体" w:hAnsi="黑体" w:eastAsia="黑体" w:cs="黑体"/>
              <w:szCs w:val="35"/>
              <w:lang w:val="en-US" w:eastAsia="zh-CN"/>
            </w:rPr>
            <w:fldChar w:fldCharType="end"/>
          </w:r>
        </w:p>
        <w:p w14:paraId="751B140C">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_Toc32729 </w:instrText>
          </w:r>
          <w:r>
            <w:rPr>
              <w:rFonts w:hint="eastAsia" w:ascii="黑体" w:hAnsi="黑体" w:eastAsia="黑体" w:cs="黑体"/>
              <w:szCs w:val="35"/>
              <w:lang w:val="en-US" w:eastAsia="zh-CN"/>
            </w:rPr>
            <w:fldChar w:fldCharType="separate"/>
          </w:r>
          <w:r>
            <w:t>（三）第二课堂安排表</w:t>
          </w:r>
          <w:r>
            <w:tab/>
          </w:r>
          <w:r>
            <w:fldChar w:fldCharType="begin"/>
          </w:r>
          <w:r>
            <w:instrText xml:space="preserve"> PAGEREF _Toc32729 \h </w:instrText>
          </w:r>
          <w:r>
            <w:fldChar w:fldCharType="separate"/>
          </w:r>
          <w:r>
            <w:t>38</w:t>
          </w:r>
          <w:r>
            <w:fldChar w:fldCharType="end"/>
          </w:r>
          <w:r>
            <w:rPr>
              <w:rFonts w:hint="eastAsia" w:ascii="黑体" w:hAnsi="黑体" w:eastAsia="黑体" w:cs="黑体"/>
              <w:szCs w:val="35"/>
              <w:lang w:val="en-US" w:eastAsia="zh-CN"/>
            </w:rPr>
            <w:fldChar w:fldCharType="end"/>
          </w:r>
        </w:p>
        <w:p w14:paraId="79F1748D">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_Toc29660 </w:instrText>
          </w:r>
          <w:r>
            <w:rPr>
              <w:rFonts w:hint="eastAsia" w:ascii="黑体" w:hAnsi="黑体" w:eastAsia="黑体" w:cs="黑体"/>
              <w:szCs w:val="35"/>
              <w:lang w:val="en-US" w:eastAsia="zh-CN"/>
            </w:rPr>
            <w:fldChar w:fldCharType="separate"/>
          </w:r>
          <w:r>
            <w:t>（四）实践教学安排表</w:t>
          </w:r>
          <w:r>
            <w:tab/>
          </w:r>
          <w:r>
            <w:fldChar w:fldCharType="begin"/>
          </w:r>
          <w:r>
            <w:instrText xml:space="preserve"> PAGEREF _Toc29660 \h </w:instrText>
          </w:r>
          <w:r>
            <w:fldChar w:fldCharType="separate"/>
          </w:r>
          <w:r>
            <w:t>38</w:t>
          </w:r>
          <w:r>
            <w:fldChar w:fldCharType="end"/>
          </w:r>
          <w:r>
            <w:rPr>
              <w:rFonts w:hint="eastAsia" w:ascii="黑体" w:hAnsi="黑体" w:eastAsia="黑体" w:cs="黑体"/>
              <w:szCs w:val="35"/>
              <w:lang w:val="en-US" w:eastAsia="zh-CN"/>
            </w:rPr>
            <w:fldChar w:fldCharType="end"/>
          </w:r>
        </w:p>
        <w:p w14:paraId="1649CACE">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_Toc24318 </w:instrText>
          </w:r>
          <w:r>
            <w:rPr>
              <w:rFonts w:hint="eastAsia" w:ascii="黑体" w:hAnsi="黑体" w:eastAsia="黑体" w:cs="黑体"/>
              <w:szCs w:val="35"/>
              <w:lang w:val="en-US" w:eastAsia="zh-CN"/>
            </w:rPr>
            <w:fldChar w:fldCharType="separate"/>
          </w:r>
          <w:r>
            <w:t>（</w:t>
          </w:r>
          <w:r>
            <w:rPr>
              <w:rFonts w:hint="eastAsia"/>
              <w:lang w:val="en-US" w:eastAsia="zh-CN"/>
            </w:rPr>
            <w:t>五</w:t>
          </w:r>
          <w:r>
            <w:t>）各模块学时、学分</w:t>
          </w:r>
          <w:r>
            <w:rPr>
              <w:rFonts w:hint="eastAsia"/>
              <w:lang w:val="en-US" w:eastAsia="zh-CN"/>
            </w:rPr>
            <w:t>汇总</w:t>
          </w:r>
          <w:r>
            <w:t>表</w:t>
          </w:r>
          <w:r>
            <w:tab/>
          </w:r>
          <w:r>
            <w:fldChar w:fldCharType="begin"/>
          </w:r>
          <w:r>
            <w:instrText xml:space="preserve"> PAGEREF _Toc24318 \h </w:instrText>
          </w:r>
          <w:r>
            <w:fldChar w:fldCharType="separate"/>
          </w:r>
          <w:r>
            <w:t>40</w:t>
          </w:r>
          <w:r>
            <w:fldChar w:fldCharType="end"/>
          </w:r>
          <w:r>
            <w:rPr>
              <w:rFonts w:hint="eastAsia" w:ascii="黑体" w:hAnsi="黑体" w:eastAsia="黑体" w:cs="黑体"/>
              <w:szCs w:val="35"/>
              <w:lang w:val="en-US" w:eastAsia="zh-CN"/>
            </w:rPr>
            <w:fldChar w:fldCharType="end"/>
          </w:r>
        </w:p>
        <w:p w14:paraId="72887877">
          <w:pPr>
            <w:pStyle w:val="6"/>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_Toc23366 </w:instrText>
          </w:r>
          <w:r>
            <w:rPr>
              <w:rFonts w:hint="eastAsia" w:ascii="黑体" w:hAnsi="黑体" w:eastAsia="黑体" w:cs="黑体"/>
              <w:szCs w:val="35"/>
              <w:lang w:val="en-US" w:eastAsia="zh-CN"/>
            </w:rPr>
            <w:fldChar w:fldCharType="separate"/>
          </w:r>
          <w:r>
            <w:t>八、实施保障</w:t>
          </w:r>
          <w:r>
            <w:tab/>
          </w:r>
          <w:r>
            <w:fldChar w:fldCharType="begin"/>
          </w:r>
          <w:r>
            <w:instrText xml:space="preserve"> PAGEREF _Toc23366 \h </w:instrText>
          </w:r>
          <w:r>
            <w:fldChar w:fldCharType="separate"/>
          </w:r>
          <w:r>
            <w:t>40</w:t>
          </w:r>
          <w:r>
            <w:fldChar w:fldCharType="end"/>
          </w:r>
          <w:r>
            <w:rPr>
              <w:rFonts w:hint="eastAsia" w:ascii="黑体" w:hAnsi="黑体" w:eastAsia="黑体" w:cs="黑体"/>
              <w:szCs w:val="35"/>
              <w:lang w:val="en-US" w:eastAsia="zh-CN"/>
            </w:rPr>
            <w:fldChar w:fldCharType="end"/>
          </w:r>
        </w:p>
        <w:p w14:paraId="228E7531">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_Toc13267 </w:instrText>
          </w:r>
          <w:r>
            <w:rPr>
              <w:rFonts w:hint="eastAsia" w:ascii="黑体" w:hAnsi="黑体" w:eastAsia="黑体" w:cs="黑体"/>
              <w:szCs w:val="35"/>
              <w:lang w:val="en-US" w:eastAsia="zh-CN"/>
            </w:rPr>
            <w:fldChar w:fldCharType="separate"/>
          </w:r>
          <w:r>
            <w:t>（一）师资队伍</w:t>
          </w:r>
          <w:r>
            <w:tab/>
          </w:r>
          <w:r>
            <w:fldChar w:fldCharType="begin"/>
          </w:r>
          <w:r>
            <w:instrText xml:space="preserve"> PAGEREF _Toc13267 \h </w:instrText>
          </w:r>
          <w:r>
            <w:fldChar w:fldCharType="separate"/>
          </w:r>
          <w:r>
            <w:t>40</w:t>
          </w:r>
          <w:r>
            <w:fldChar w:fldCharType="end"/>
          </w:r>
          <w:r>
            <w:rPr>
              <w:rFonts w:hint="eastAsia" w:ascii="黑体" w:hAnsi="黑体" w:eastAsia="黑体" w:cs="黑体"/>
              <w:szCs w:val="35"/>
              <w:lang w:val="en-US" w:eastAsia="zh-CN"/>
            </w:rPr>
            <w:fldChar w:fldCharType="end"/>
          </w:r>
        </w:p>
        <w:p w14:paraId="4AEBC5D1">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_Toc28336 </w:instrText>
          </w:r>
          <w:r>
            <w:rPr>
              <w:rFonts w:hint="eastAsia" w:ascii="黑体" w:hAnsi="黑体" w:eastAsia="黑体" w:cs="黑体"/>
              <w:szCs w:val="35"/>
              <w:lang w:val="en-US" w:eastAsia="zh-CN"/>
            </w:rPr>
            <w:fldChar w:fldCharType="separate"/>
          </w:r>
          <w:r>
            <w:t>（二）教学设施</w:t>
          </w:r>
          <w:r>
            <w:tab/>
          </w:r>
          <w:r>
            <w:fldChar w:fldCharType="begin"/>
          </w:r>
          <w:r>
            <w:instrText xml:space="preserve"> PAGEREF _Toc28336 \h </w:instrText>
          </w:r>
          <w:r>
            <w:fldChar w:fldCharType="separate"/>
          </w:r>
          <w:r>
            <w:t>41</w:t>
          </w:r>
          <w:r>
            <w:fldChar w:fldCharType="end"/>
          </w:r>
          <w:r>
            <w:rPr>
              <w:rFonts w:hint="eastAsia" w:ascii="黑体" w:hAnsi="黑体" w:eastAsia="黑体" w:cs="黑体"/>
              <w:szCs w:val="35"/>
              <w:lang w:val="en-US" w:eastAsia="zh-CN"/>
            </w:rPr>
            <w:fldChar w:fldCharType="end"/>
          </w:r>
        </w:p>
        <w:p w14:paraId="11CE64BF">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_Toc10872 </w:instrText>
          </w:r>
          <w:r>
            <w:rPr>
              <w:rFonts w:hint="eastAsia" w:ascii="黑体" w:hAnsi="黑体" w:eastAsia="黑体" w:cs="黑体"/>
              <w:szCs w:val="35"/>
              <w:lang w:val="en-US" w:eastAsia="zh-CN"/>
            </w:rPr>
            <w:fldChar w:fldCharType="separate"/>
          </w:r>
          <w:r>
            <w:t>（三）教学资源</w:t>
          </w:r>
          <w:r>
            <w:tab/>
          </w:r>
          <w:r>
            <w:fldChar w:fldCharType="begin"/>
          </w:r>
          <w:r>
            <w:instrText xml:space="preserve"> PAGEREF _Toc10872 \h </w:instrText>
          </w:r>
          <w:r>
            <w:fldChar w:fldCharType="separate"/>
          </w:r>
          <w:r>
            <w:t>45</w:t>
          </w:r>
          <w:r>
            <w:fldChar w:fldCharType="end"/>
          </w:r>
          <w:r>
            <w:rPr>
              <w:rFonts w:hint="eastAsia" w:ascii="黑体" w:hAnsi="黑体" w:eastAsia="黑体" w:cs="黑体"/>
              <w:szCs w:val="35"/>
              <w:lang w:val="en-US" w:eastAsia="zh-CN"/>
            </w:rPr>
            <w:fldChar w:fldCharType="end"/>
          </w:r>
        </w:p>
        <w:p w14:paraId="591EE0E6">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_Toc17461 </w:instrText>
          </w:r>
          <w:r>
            <w:rPr>
              <w:rFonts w:hint="eastAsia" w:ascii="黑体" w:hAnsi="黑体" w:eastAsia="黑体" w:cs="黑体"/>
              <w:szCs w:val="35"/>
              <w:lang w:val="en-US" w:eastAsia="zh-CN"/>
            </w:rPr>
            <w:fldChar w:fldCharType="separate"/>
          </w:r>
          <w:r>
            <w:t>（四）教学方法</w:t>
          </w:r>
          <w:r>
            <w:tab/>
          </w:r>
          <w:r>
            <w:fldChar w:fldCharType="begin"/>
          </w:r>
          <w:r>
            <w:instrText xml:space="preserve"> PAGEREF _Toc17461 \h </w:instrText>
          </w:r>
          <w:r>
            <w:fldChar w:fldCharType="separate"/>
          </w:r>
          <w:r>
            <w:t>46</w:t>
          </w:r>
          <w:r>
            <w:fldChar w:fldCharType="end"/>
          </w:r>
          <w:r>
            <w:rPr>
              <w:rFonts w:hint="eastAsia" w:ascii="黑体" w:hAnsi="黑体" w:eastAsia="黑体" w:cs="黑体"/>
              <w:szCs w:val="35"/>
              <w:lang w:val="en-US" w:eastAsia="zh-CN"/>
            </w:rPr>
            <w:fldChar w:fldCharType="end"/>
          </w:r>
        </w:p>
        <w:p w14:paraId="69FD3281">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_Toc6451 </w:instrText>
          </w:r>
          <w:r>
            <w:rPr>
              <w:rFonts w:hint="eastAsia" w:ascii="黑体" w:hAnsi="黑体" w:eastAsia="黑体" w:cs="黑体"/>
              <w:szCs w:val="35"/>
              <w:lang w:val="en-US" w:eastAsia="zh-CN"/>
            </w:rPr>
            <w:fldChar w:fldCharType="separate"/>
          </w:r>
          <w:r>
            <w:t>（五）学习评价</w:t>
          </w:r>
          <w:r>
            <w:tab/>
          </w:r>
          <w:r>
            <w:fldChar w:fldCharType="begin"/>
          </w:r>
          <w:r>
            <w:instrText xml:space="preserve"> PAGEREF _Toc6451 \h </w:instrText>
          </w:r>
          <w:r>
            <w:fldChar w:fldCharType="separate"/>
          </w:r>
          <w:r>
            <w:t>46</w:t>
          </w:r>
          <w:r>
            <w:fldChar w:fldCharType="end"/>
          </w:r>
          <w:r>
            <w:rPr>
              <w:rFonts w:hint="eastAsia" w:ascii="黑体" w:hAnsi="黑体" w:eastAsia="黑体" w:cs="黑体"/>
              <w:szCs w:val="35"/>
              <w:lang w:val="en-US" w:eastAsia="zh-CN"/>
            </w:rPr>
            <w:fldChar w:fldCharType="end"/>
          </w:r>
        </w:p>
        <w:p w14:paraId="130C4383">
          <w:pPr>
            <w:pStyle w:val="7"/>
            <w:tabs>
              <w:tab w:val="right" w:leader="dot" w:pos="833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_Toc22344 </w:instrText>
          </w:r>
          <w:r>
            <w:rPr>
              <w:rFonts w:hint="eastAsia" w:ascii="黑体" w:hAnsi="黑体" w:eastAsia="黑体" w:cs="黑体"/>
              <w:szCs w:val="35"/>
              <w:lang w:val="en-US" w:eastAsia="zh-CN"/>
            </w:rPr>
            <w:fldChar w:fldCharType="separate"/>
          </w:r>
          <w:r>
            <w:t>（六）质量管理</w:t>
          </w:r>
          <w:r>
            <w:tab/>
          </w:r>
          <w:r>
            <w:fldChar w:fldCharType="begin"/>
          </w:r>
          <w:r>
            <w:instrText xml:space="preserve"> PAGEREF _Toc22344 \h </w:instrText>
          </w:r>
          <w:r>
            <w:fldChar w:fldCharType="separate"/>
          </w:r>
          <w:r>
            <w:t>48</w:t>
          </w:r>
          <w:r>
            <w:fldChar w:fldCharType="end"/>
          </w:r>
          <w:r>
            <w:rPr>
              <w:rFonts w:hint="eastAsia" w:ascii="黑体" w:hAnsi="黑体" w:eastAsia="黑体" w:cs="黑体"/>
              <w:szCs w:val="35"/>
              <w:lang w:val="en-US" w:eastAsia="zh-CN"/>
            </w:rPr>
            <w:fldChar w:fldCharType="end"/>
          </w:r>
        </w:p>
        <w:p w14:paraId="2A276AC5">
          <w:pPr>
            <w:pStyle w:val="6"/>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_Toc15049 </w:instrText>
          </w:r>
          <w:r>
            <w:rPr>
              <w:rFonts w:hint="eastAsia" w:ascii="黑体" w:hAnsi="黑体" w:eastAsia="黑体" w:cs="黑体"/>
              <w:szCs w:val="35"/>
              <w:lang w:val="en-US" w:eastAsia="zh-CN"/>
            </w:rPr>
            <w:fldChar w:fldCharType="separate"/>
          </w:r>
          <w:r>
            <w:t>九、毕业要求</w:t>
          </w:r>
          <w:r>
            <w:tab/>
          </w:r>
          <w:r>
            <w:fldChar w:fldCharType="begin"/>
          </w:r>
          <w:r>
            <w:instrText xml:space="preserve"> PAGEREF _Toc15049 \h </w:instrText>
          </w:r>
          <w:r>
            <w:fldChar w:fldCharType="separate"/>
          </w:r>
          <w:r>
            <w:t>48</w:t>
          </w:r>
          <w:r>
            <w:fldChar w:fldCharType="end"/>
          </w:r>
          <w:r>
            <w:rPr>
              <w:rFonts w:hint="eastAsia" w:ascii="黑体" w:hAnsi="黑体" w:eastAsia="黑体" w:cs="黑体"/>
              <w:szCs w:val="35"/>
              <w:lang w:val="en-US" w:eastAsia="zh-CN"/>
            </w:rPr>
            <w:fldChar w:fldCharType="end"/>
          </w:r>
        </w:p>
        <w:p w14:paraId="3BAB7F3E">
          <w:pPr>
            <w:pStyle w:val="6"/>
            <w:tabs>
              <w:tab w:val="right" w:leader="dot" w:pos="8336"/>
              <w:tab w:val="clear" w:pos="9016"/>
            </w:tabs>
          </w:pPr>
          <w:r>
            <w:rPr>
              <w:rFonts w:hint="eastAsia" w:ascii="黑体" w:hAnsi="黑体" w:eastAsia="黑体" w:cs="黑体"/>
              <w:szCs w:val="35"/>
              <w:lang w:val="en-US" w:eastAsia="zh-CN"/>
            </w:rPr>
            <w:fldChar w:fldCharType="begin"/>
          </w:r>
          <w:r>
            <w:rPr>
              <w:rFonts w:hint="eastAsia" w:ascii="黑体" w:hAnsi="黑体" w:eastAsia="黑体" w:cs="黑体"/>
              <w:szCs w:val="35"/>
              <w:lang w:val="en-US" w:eastAsia="zh-CN"/>
            </w:rPr>
            <w:instrText xml:space="preserve"> HYPERLINK \l _Toc30778 </w:instrText>
          </w:r>
          <w:r>
            <w:rPr>
              <w:rFonts w:hint="eastAsia" w:ascii="黑体" w:hAnsi="黑体" w:eastAsia="黑体" w:cs="黑体"/>
              <w:szCs w:val="35"/>
              <w:lang w:val="en-US" w:eastAsia="zh-CN"/>
            </w:rPr>
            <w:fldChar w:fldCharType="separate"/>
          </w:r>
          <w:r>
            <w:t>十、附录</w:t>
          </w:r>
          <w:r>
            <w:tab/>
          </w:r>
          <w:r>
            <w:fldChar w:fldCharType="begin"/>
          </w:r>
          <w:r>
            <w:instrText xml:space="preserve"> PAGEREF _Toc30778 \h </w:instrText>
          </w:r>
          <w:r>
            <w:fldChar w:fldCharType="separate"/>
          </w:r>
          <w:r>
            <w:t>49</w:t>
          </w:r>
          <w:r>
            <w:fldChar w:fldCharType="end"/>
          </w:r>
          <w:r>
            <w:rPr>
              <w:rFonts w:hint="eastAsia" w:ascii="黑体" w:hAnsi="黑体" w:eastAsia="黑体" w:cs="黑体"/>
              <w:szCs w:val="35"/>
              <w:lang w:val="en-US" w:eastAsia="zh-CN"/>
            </w:rPr>
            <w:fldChar w:fldCharType="end"/>
          </w:r>
        </w:p>
        <w:p w14:paraId="71ACDDB9">
          <w:pPr>
            <w:spacing w:line="228" w:lineRule="auto"/>
            <w:jc w:val="both"/>
            <w:rPr>
              <w:rFonts w:hint="eastAsia" w:ascii="黑体" w:hAnsi="黑体" w:eastAsia="黑体" w:cs="黑体"/>
              <w:b/>
              <w:snapToGrid w:val="0"/>
              <w:color w:val="000000"/>
              <w:kern w:val="0"/>
              <w:sz w:val="28"/>
              <w:szCs w:val="35"/>
              <w:lang w:val="en-US" w:eastAsia="zh-CN" w:bidi="ar-SA"/>
            </w:rPr>
          </w:pPr>
          <w:r>
            <w:rPr>
              <w:rFonts w:hint="eastAsia" w:ascii="黑体" w:hAnsi="黑体" w:eastAsia="黑体" w:cs="黑体"/>
              <w:szCs w:val="35"/>
              <w:lang w:val="en-US" w:eastAsia="zh-CN"/>
            </w:rPr>
            <w:fldChar w:fldCharType="end"/>
          </w:r>
        </w:p>
      </w:sdtContent>
    </w:sdt>
    <w:p w14:paraId="58BAFC7F">
      <w:pPr>
        <w:spacing w:line="228" w:lineRule="auto"/>
        <w:jc w:val="both"/>
        <w:rPr>
          <w:rFonts w:hint="eastAsia" w:ascii="黑体" w:hAnsi="黑体" w:eastAsia="黑体" w:cs="黑体"/>
          <w:b/>
          <w:snapToGrid w:val="0"/>
          <w:color w:val="000000"/>
          <w:kern w:val="0"/>
          <w:sz w:val="28"/>
          <w:szCs w:val="35"/>
          <w:lang w:val="en-US" w:eastAsia="zh-CN" w:bidi="ar-SA"/>
        </w:rPr>
        <w:sectPr>
          <w:pgSz w:w="11906" w:h="16839"/>
          <w:pgMar w:top="400" w:right="1785" w:bottom="1127" w:left="1785" w:header="0" w:footer="848" w:gutter="0"/>
          <w:pgBorders>
            <w:top w:val="none" w:sz="0" w:space="0"/>
            <w:left w:val="none" w:sz="0" w:space="0"/>
            <w:bottom w:val="none" w:sz="0" w:space="0"/>
            <w:right w:val="none" w:sz="0" w:space="0"/>
          </w:pgBorders>
          <w:cols w:space="720" w:num="1"/>
        </w:sectPr>
      </w:pPr>
    </w:p>
    <w:p w14:paraId="7EA2199C">
      <w:pPr>
        <w:spacing w:line="277" w:lineRule="auto"/>
        <w:rPr>
          <w:rFonts w:ascii="Arial"/>
          <w:sz w:val="21"/>
        </w:rPr>
      </w:pPr>
    </w:p>
    <w:p w14:paraId="33C2432C">
      <w:pPr>
        <w:pStyle w:val="2"/>
        <w:bidi w:val="0"/>
      </w:pPr>
      <w:bookmarkStart w:id="0" w:name="_Toc7576"/>
      <w:bookmarkStart w:id="1" w:name="_Toc6833"/>
      <w:r>
        <w:t>一、专业名称及代码</w:t>
      </w:r>
      <w:bookmarkEnd w:id="0"/>
      <w:bookmarkEnd w:id="1"/>
    </w:p>
    <w:p w14:paraId="2055B521">
      <w:pPr>
        <w:pStyle w:val="4"/>
        <w:spacing w:before="179" w:line="226" w:lineRule="auto"/>
        <w:ind w:left="984"/>
        <w:rPr>
          <w:rFonts w:hint="default" w:eastAsia="仿宋"/>
          <w:lang w:val="en-US" w:eastAsia="zh-CN"/>
        </w:rPr>
      </w:pPr>
      <w:r>
        <w:rPr>
          <w:b/>
          <w:bCs/>
          <w:spacing w:val="-11"/>
        </w:rPr>
        <w:t>（一）专业名称：</w:t>
      </w:r>
      <w:r>
        <w:rPr>
          <w:rFonts w:hint="eastAsia"/>
          <w:b/>
          <w:bCs/>
          <w:spacing w:val="-11"/>
          <w:lang w:val="en-US" w:eastAsia="zh-CN"/>
        </w:rPr>
        <w:t>口腔医学技术</w:t>
      </w:r>
    </w:p>
    <w:p w14:paraId="0705F5C1">
      <w:pPr>
        <w:pStyle w:val="4"/>
        <w:spacing w:before="178" w:line="282" w:lineRule="auto"/>
        <w:ind w:left="356" w:right="319" w:firstLine="627"/>
      </w:pPr>
      <w:r>
        <w:rPr>
          <w:b/>
          <w:bCs/>
          <w:spacing w:val="-3"/>
        </w:rPr>
        <w:t>（二）专业代码：</w:t>
      </w:r>
      <w:r>
        <w:rPr>
          <w:rFonts w:hint="eastAsia"/>
          <w:spacing w:val="-3"/>
          <w:lang w:val="en-US" w:eastAsia="zh-CN"/>
        </w:rPr>
        <w:t>520504</w:t>
      </w:r>
    </w:p>
    <w:p w14:paraId="7478E3FB">
      <w:pPr>
        <w:pStyle w:val="2"/>
        <w:bidi w:val="0"/>
      </w:pPr>
      <w:bookmarkStart w:id="2" w:name="_Toc17581"/>
      <w:bookmarkStart w:id="3" w:name="_Toc32405"/>
      <w:r>
        <w:t>二、入学要求</w:t>
      </w:r>
      <w:bookmarkEnd w:id="2"/>
      <w:bookmarkEnd w:id="3"/>
    </w:p>
    <w:p w14:paraId="29581D93">
      <w:pPr>
        <w:pStyle w:val="4"/>
        <w:spacing w:before="177" w:line="318" w:lineRule="auto"/>
        <w:ind w:left="352" w:right="465" w:firstLine="630"/>
      </w:pPr>
      <w:r>
        <w:rPr>
          <w:spacing w:val="-1"/>
        </w:rPr>
        <w:t>普通高级中学毕业（理科/文科/文、理科）、中等职业</w:t>
      </w:r>
      <w:r>
        <w:rPr>
          <w:spacing w:val="6"/>
        </w:rPr>
        <w:t>学校毕业或具备同等学力。</w:t>
      </w:r>
    </w:p>
    <w:p w14:paraId="52F0BDA7">
      <w:pPr>
        <w:pStyle w:val="2"/>
        <w:keepNext/>
        <w:keepLines/>
        <w:pageBreakBefore w:val="0"/>
        <w:widowControl/>
        <w:kinsoku w:val="0"/>
        <w:wordWrap/>
        <w:overflowPunct/>
        <w:topLinePunct w:val="0"/>
        <w:autoSpaceDE w:val="0"/>
        <w:autoSpaceDN w:val="0"/>
        <w:bidi w:val="0"/>
        <w:adjustRightInd w:val="0"/>
        <w:snapToGrid w:val="0"/>
        <w:textAlignment w:val="baseline"/>
      </w:pPr>
      <w:bookmarkStart w:id="4" w:name="_Toc24691"/>
      <w:bookmarkStart w:id="5" w:name="_Toc18092"/>
      <w:r>
        <w:t>三、修业年限</w:t>
      </w:r>
      <w:bookmarkEnd w:id="4"/>
      <w:bookmarkEnd w:id="5"/>
    </w:p>
    <w:p w14:paraId="51ACFAAA">
      <w:pPr>
        <w:pStyle w:val="4"/>
        <w:spacing w:before="177" w:line="227" w:lineRule="auto"/>
        <w:ind w:left="987"/>
        <w:rPr>
          <w:rFonts w:hint="eastAsia" w:eastAsia="仿宋"/>
          <w:spacing w:val="-1"/>
          <w:lang w:eastAsia="zh-CN"/>
        </w:rPr>
      </w:pPr>
      <w:r>
        <w:rPr>
          <w:spacing w:val="-1"/>
        </w:rPr>
        <w:t>全日制3</w:t>
      </w:r>
      <w:r>
        <w:rPr>
          <w:spacing w:val="-47"/>
        </w:rPr>
        <w:t xml:space="preserve"> </w:t>
      </w:r>
      <w:r>
        <w:rPr>
          <w:spacing w:val="-1"/>
        </w:rPr>
        <w:t>年</w:t>
      </w:r>
      <w:r>
        <w:rPr>
          <w:rFonts w:hint="eastAsia"/>
          <w:spacing w:val="-1"/>
          <w:lang w:eastAsia="zh-CN"/>
        </w:rPr>
        <w:t>（</w:t>
      </w:r>
      <w:r>
        <w:rPr>
          <w:rFonts w:hint="eastAsia"/>
          <w:spacing w:val="-1"/>
          <w:lang w:val="en-US" w:eastAsia="zh-CN"/>
        </w:rPr>
        <w:t>2+1/1.5+0.5+1模式</w:t>
      </w:r>
      <w:r>
        <w:rPr>
          <w:rFonts w:hint="eastAsia"/>
          <w:spacing w:val="-1"/>
          <w:lang w:eastAsia="zh-CN"/>
        </w:rPr>
        <w:t>）</w:t>
      </w:r>
    </w:p>
    <w:p w14:paraId="3005944E">
      <w:pPr>
        <w:pStyle w:val="2"/>
        <w:numPr>
          <w:ilvl w:val="0"/>
          <w:numId w:val="0"/>
        </w:numPr>
        <w:bidi w:val="0"/>
      </w:pPr>
      <w:bookmarkStart w:id="6" w:name="_Toc2441"/>
      <w:bookmarkStart w:id="7" w:name="_Toc6980"/>
      <w:r>
        <w:rPr>
          <w:rFonts w:hint="eastAsia" w:ascii="Arial" w:hAnsi="Arial" w:eastAsia="黑体" w:cs="Arial"/>
          <w:b/>
          <w:snapToGrid w:val="0"/>
          <w:color w:val="000000"/>
          <w:kern w:val="44"/>
          <w:sz w:val="28"/>
          <w:szCs w:val="21"/>
          <w:lang w:val="en-US" w:eastAsia="en-US" w:bidi="ar-SA"/>
        </w:rPr>
        <w:t>四、</w:t>
      </w:r>
      <w:r>
        <w:t>职业面向</w:t>
      </w:r>
      <w:bookmarkEnd w:id="6"/>
      <w:bookmarkEnd w:id="7"/>
    </w:p>
    <w:p w14:paraId="74B54325">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rPr>
          <w:rFonts w:hint="eastAsia"/>
          <w:lang w:eastAsia="zh-CN"/>
        </w:rPr>
      </w:pPr>
      <w:bookmarkStart w:id="8" w:name="_Toc15984"/>
      <w:r>
        <w:rPr>
          <w:rFonts w:hint="eastAsia"/>
          <w:lang w:eastAsia="zh-CN"/>
        </w:rPr>
        <w:t>（一）职业领域</w:t>
      </w:r>
      <w:bookmarkEnd w:id="8"/>
    </w:p>
    <w:tbl>
      <w:tblPr>
        <w:tblStyle w:val="8"/>
        <w:tblpPr w:leftFromText="180" w:rightFromText="180" w:vertAnchor="text" w:horzAnchor="page" w:tblpX="1905" w:tblpY="268"/>
        <w:tblOverlap w:val="never"/>
        <w:tblW w:w="8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3269"/>
        <w:gridCol w:w="5310"/>
      </w:tblGrid>
      <w:tr w14:paraId="6318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trPr>
        <w:tc>
          <w:tcPr>
            <w:tcW w:w="3269" w:type="dxa"/>
            <w:shd w:val="clear" w:color="auto" w:fill="auto"/>
            <w:vAlign w:val="center"/>
          </w:tcPr>
          <w:p w14:paraId="62CDE17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en-US"/>
              </w:rPr>
            </w:pPr>
            <w:r>
              <w:rPr>
                <w:rFonts w:ascii="楷体" w:hAnsi="楷体" w:eastAsia="楷体" w:cs="楷体"/>
                <w:b/>
                <w:bCs/>
                <w:spacing w:val="-2"/>
                <w:sz w:val="20"/>
                <w:szCs w:val="20"/>
                <w:lang w:val="en-US" w:eastAsia="zh-CN"/>
              </w:rPr>
              <w:t>所属专业大类</w:t>
            </w:r>
            <w:r>
              <w:rPr>
                <w:rFonts w:hint="eastAsia" w:ascii="楷体" w:hAnsi="楷体" w:eastAsia="楷体" w:cs="楷体"/>
                <w:b/>
                <w:bCs/>
                <w:spacing w:val="-2"/>
                <w:sz w:val="20"/>
                <w:szCs w:val="20"/>
                <w:lang w:val="en-US" w:eastAsia="zh-CN"/>
              </w:rPr>
              <w:t>（</w:t>
            </w:r>
            <w:r>
              <w:rPr>
                <w:rFonts w:ascii="楷体" w:hAnsi="楷体" w:eastAsia="楷体" w:cs="楷体"/>
                <w:b/>
                <w:bCs/>
                <w:spacing w:val="-2"/>
                <w:sz w:val="20"/>
                <w:szCs w:val="20"/>
                <w:lang w:val="en-US" w:eastAsia="zh-CN"/>
              </w:rPr>
              <w:t>代码</w:t>
            </w:r>
            <w:r>
              <w:rPr>
                <w:rFonts w:hint="eastAsia" w:ascii="楷体" w:hAnsi="楷体" w:eastAsia="楷体" w:cs="楷体"/>
                <w:b/>
                <w:bCs/>
                <w:spacing w:val="-2"/>
                <w:sz w:val="20"/>
                <w:szCs w:val="20"/>
                <w:lang w:val="en-US" w:eastAsia="zh-CN"/>
              </w:rPr>
              <w:t>）</w:t>
            </w:r>
          </w:p>
        </w:tc>
        <w:tc>
          <w:tcPr>
            <w:tcW w:w="5310" w:type="dxa"/>
            <w:shd w:val="clear" w:color="auto" w:fill="auto"/>
            <w:vAlign w:val="center"/>
          </w:tcPr>
          <w:p w14:paraId="36BC71DE">
            <w:pPr>
              <w:keepNext w:val="0"/>
              <w:keepLines w:val="0"/>
              <w:pageBreakBefore w:val="0"/>
              <w:widowControl/>
              <w:kinsoku w:val="0"/>
              <w:wordWrap/>
              <w:overflowPunct/>
              <w:topLinePunct w:val="0"/>
              <w:autoSpaceDE w:val="0"/>
              <w:autoSpaceDN w:val="0"/>
              <w:bidi w:val="0"/>
              <w:adjustRightInd w:val="0"/>
              <w:snapToGrid w:val="0"/>
              <w:spacing w:line="240" w:lineRule="auto"/>
              <w:ind w:left="817"/>
              <w:jc w:val="center"/>
              <w:textAlignment w:val="baseline"/>
              <w:rPr>
                <w:rFonts w:ascii="楷体" w:hAnsi="楷体" w:eastAsia="楷体" w:cs="楷体"/>
                <w:b w:val="0"/>
                <w:bCs w:val="0"/>
                <w:spacing w:val="-2"/>
                <w:sz w:val="20"/>
                <w:szCs w:val="20"/>
                <w:lang w:val="en-US" w:eastAsia="en-US"/>
              </w:rPr>
            </w:pPr>
            <w:r>
              <w:rPr>
                <w:rFonts w:hint="eastAsia" w:ascii="楷体" w:hAnsi="楷体" w:eastAsia="楷体" w:cs="楷体"/>
                <w:b w:val="0"/>
                <w:bCs w:val="0"/>
                <w:spacing w:val="-2"/>
                <w:sz w:val="20"/>
                <w:szCs w:val="20"/>
                <w:lang w:val="en-US" w:eastAsia="en-US"/>
              </w:rPr>
              <w:t>医药卫生大类（52）</w:t>
            </w:r>
          </w:p>
        </w:tc>
      </w:tr>
      <w:tr w14:paraId="1B2F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269" w:type="dxa"/>
            <w:shd w:val="clear" w:color="auto" w:fill="auto"/>
            <w:vAlign w:val="center"/>
          </w:tcPr>
          <w:p w14:paraId="4496C9A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en-US"/>
              </w:rPr>
            </w:pPr>
            <w:r>
              <w:rPr>
                <w:rFonts w:ascii="楷体" w:hAnsi="楷体" w:eastAsia="楷体" w:cs="楷体"/>
                <w:b/>
                <w:bCs/>
                <w:spacing w:val="-2"/>
                <w:sz w:val="20"/>
                <w:szCs w:val="20"/>
                <w:lang w:val="en-US" w:eastAsia="zh-CN"/>
              </w:rPr>
              <w:t>所属专业类</w:t>
            </w:r>
            <w:r>
              <w:rPr>
                <w:rFonts w:hint="eastAsia" w:ascii="楷体" w:hAnsi="楷体" w:eastAsia="楷体" w:cs="楷体"/>
                <w:b/>
                <w:bCs/>
                <w:spacing w:val="-2"/>
                <w:sz w:val="20"/>
                <w:szCs w:val="20"/>
                <w:lang w:val="en-US" w:eastAsia="zh-CN"/>
              </w:rPr>
              <w:t>（</w:t>
            </w:r>
            <w:r>
              <w:rPr>
                <w:rFonts w:ascii="楷体" w:hAnsi="楷体" w:eastAsia="楷体" w:cs="楷体"/>
                <w:b/>
                <w:bCs/>
                <w:spacing w:val="-2"/>
                <w:sz w:val="20"/>
                <w:szCs w:val="20"/>
                <w:lang w:val="en-US" w:eastAsia="zh-CN"/>
              </w:rPr>
              <w:t>代码</w:t>
            </w:r>
            <w:r>
              <w:rPr>
                <w:rFonts w:hint="eastAsia" w:ascii="楷体" w:hAnsi="楷体" w:eastAsia="楷体" w:cs="楷体"/>
                <w:b/>
                <w:bCs/>
                <w:spacing w:val="-2"/>
                <w:sz w:val="20"/>
                <w:szCs w:val="20"/>
                <w:lang w:val="en-US" w:eastAsia="zh-CN"/>
              </w:rPr>
              <w:t>）</w:t>
            </w:r>
          </w:p>
        </w:tc>
        <w:tc>
          <w:tcPr>
            <w:tcW w:w="5310" w:type="dxa"/>
            <w:shd w:val="clear" w:color="auto" w:fill="auto"/>
            <w:vAlign w:val="center"/>
          </w:tcPr>
          <w:p w14:paraId="3ADE093E">
            <w:pPr>
              <w:keepNext w:val="0"/>
              <w:keepLines w:val="0"/>
              <w:pageBreakBefore w:val="0"/>
              <w:widowControl/>
              <w:kinsoku w:val="0"/>
              <w:wordWrap/>
              <w:overflowPunct/>
              <w:topLinePunct w:val="0"/>
              <w:autoSpaceDE w:val="0"/>
              <w:autoSpaceDN w:val="0"/>
              <w:bidi w:val="0"/>
              <w:adjustRightInd w:val="0"/>
              <w:snapToGrid w:val="0"/>
              <w:spacing w:line="240" w:lineRule="auto"/>
              <w:ind w:left="817"/>
              <w:jc w:val="center"/>
              <w:textAlignment w:val="baseline"/>
              <w:rPr>
                <w:rFonts w:hint="default" w:ascii="楷体" w:hAnsi="楷体" w:eastAsia="楷体" w:cs="楷体"/>
                <w:b w:val="0"/>
                <w:bCs w:val="0"/>
                <w:spacing w:val="-2"/>
                <w:sz w:val="20"/>
                <w:szCs w:val="20"/>
                <w:lang w:val="en-US" w:eastAsia="zh-CN"/>
              </w:rPr>
            </w:pPr>
            <w:r>
              <w:rPr>
                <w:rFonts w:hint="eastAsia" w:ascii="楷体" w:hAnsi="楷体" w:eastAsia="楷体" w:cs="楷体"/>
                <w:b w:val="0"/>
                <w:bCs w:val="0"/>
                <w:spacing w:val="-2"/>
                <w:sz w:val="20"/>
                <w:szCs w:val="20"/>
                <w:lang w:val="en-US" w:eastAsia="zh-CN"/>
              </w:rPr>
              <w:t>医学技术类（5205）</w:t>
            </w:r>
          </w:p>
        </w:tc>
      </w:tr>
      <w:tr w14:paraId="0FF4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trPr>
        <w:tc>
          <w:tcPr>
            <w:tcW w:w="3269" w:type="dxa"/>
            <w:shd w:val="clear" w:color="auto" w:fill="auto"/>
            <w:vAlign w:val="center"/>
          </w:tcPr>
          <w:p w14:paraId="00D1DAB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en-US"/>
              </w:rPr>
            </w:pPr>
            <w:r>
              <w:rPr>
                <w:rFonts w:ascii="楷体" w:hAnsi="楷体" w:eastAsia="楷体" w:cs="楷体"/>
                <w:b/>
                <w:bCs/>
                <w:spacing w:val="-2"/>
                <w:sz w:val="20"/>
                <w:szCs w:val="20"/>
                <w:lang w:val="en-US" w:eastAsia="zh-CN"/>
              </w:rPr>
              <w:t>对应行业</w:t>
            </w:r>
            <w:r>
              <w:rPr>
                <w:rFonts w:hint="eastAsia" w:ascii="楷体" w:hAnsi="楷体" w:eastAsia="楷体" w:cs="楷体"/>
                <w:b/>
                <w:bCs/>
                <w:spacing w:val="-2"/>
                <w:sz w:val="20"/>
                <w:szCs w:val="20"/>
                <w:lang w:val="en-US" w:eastAsia="zh-CN"/>
              </w:rPr>
              <w:t>（</w:t>
            </w:r>
            <w:r>
              <w:rPr>
                <w:rFonts w:ascii="楷体" w:hAnsi="楷体" w:eastAsia="楷体" w:cs="楷体"/>
                <w:b/>
                <w:bCs/>
                <w:spacing w:val="-2"/>
                <w:sz w:val="20"/>
                <w:szCs w:val="20"/>
                <w:lang w:val="en-US" w:eastAsia="zh-CN"/>
              </w:rPr>
              <w:t>代码</w:t>
            </w:r>
            <w:r>
              <w:rPr>
                <w:rFonts w:hint="eastAsia" w:ascii="楷体" w:hAnsi="楷体" w:eastAsia="楷体" w:cs="楷体"/>
                <w:b/>
                <w:bCs/>
                <w:spacing w:val="-2"/>
                <w:sz w:val="20"/>
                <w:szCs w:val="20"/>
                <w:lang w:val="en-US" w:eastAsia="zh-CN"/>
              </w:rPr>
              <w:t>）</w:t>
            </w:r>
          </w:p>
        </w:tc>
        <w:tc>
          <w:tcPr>
            <w:tcW w:w="5310" w:type="dxa"/>
            <w:shd w:val="clear" w:color="auto" w:fill="auto"/>
            <w:vAlign w:val="center"/>
          </w:tcPr>
          <w:p w14:paraId="61D6B071">
            <w:pPr>
              <w:keepNext w:val="0"/>
              <w:keepLines w:val="0"/>
              <w:pageBreakBefore w:val="0"/>
              <w:widowControl/>
              <w:kinsoku w:val="0"/>
              <w:wordWrap/>
              <w:overflowPunct/>
              <w:topLinePunct w:val="0"/>
              <w:autoSpaceDE w:val="0"/>
              <w:autoSpaceDN w:val="0"/>
              <w:bidi w:val="0"/>
              <w:adjustRightInd w:val="0"/>
              <w:snapToGrid w:val="0"/>
              <w:spacing w:line="240" w:lineRule="auto"/>
              <w:ind w:left="817"/>
              <w:jc w:val="center"/>
              <w:textAlignment w:val="baseline"/>
              <w:rPr>
                <w:rFonts w:ascii="楷体" w:hAnsi="楷体" w:eastAsia="楷体" w:cs="楷体"/>
                <w:b w:val="0"/>
                <w:bCs w:val="0"/>
                <w:spacing w:val="-2"/>
                <w:sz w:val="20"/>
                <w:szCs w:val="20"/>
                <w:lang w:val="en-US" w:eastAsia="en-US"/>
              </w:rPr>
            </w:pPr>
            <w:r>
              <w:rPr>
                <w:rFonts w:hint="eastAsia" w:ascii="楷体" w:hAnsi="楷体" w:eastAsia="楷体" w:cs="楷体"/>
                <w:b w:val="0"/>
                <w:bCs w:val="0"/>
                <w:spacing w:val="-2"/>
                <w:sz w:val="20"/>
                <w:szCs w:val="20"/>
                <w:lang w:val="en-US" w:eastAsia="en-US"/>
              </w:rPr>
              <w:t>卫生（84）</w:t>
            </w:r>
          </w:p>
        </w:tc>
      </w:tr>
      <w:tr w14:paraId="28E04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269" w:type="dxa"/>
            <w:shd w:val="clear" w:color="auto" w:fill="auto"/>
            <w:vAlign w:val="center"/>
          </w:tcPr>
          <w:p w14:paraId="232135B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en-US"/>
              </w:rPr>
            </w:pPr>
            <w:r>
              <w:rPr>
                <w:rFonts w:ascii="楷体" w:hAnsi="楷体" w:eastAsia="楷体" w:cs="楷体"/>
                <w:b/>
                <w:bCs/>
                <w:spacing w:val="-2"/>
                <w:sz w:val="20"/>
                <w:szCs w:val="20"/>
                <w:lang w:val="en-US" w:eastAsia="zh-CN"/>
              </w:rPr>
              <w:t>主要职业类别</w:t>
            </w:r>
            <w:r>
              <w:rPr>
                <w:rFonts w:hint="eastAsia" w:ascii="楷体" w:hAnsi="楷体" w:eastAsia="楷体" w:cs="楷体"/>
                <w:b/>
                <w:bCs/>
                <w:spacing w:val="-2"/>
                <w:sz w:val="20"/>
                <w:szCs w:val="20"/>
                <w:lang w:val="en-US" w:eastAsia="zh-CN"/>
              </w:rPr>
              <w:t>（</w:t>
            </w:r>
            <w:r>
              <w:rPr>
                <w:rFonts w:ascii="楷体" w:hAnsi="楷体" w:eastAsia="楷体" w:cs="楷体"/>
                <w:b/>
                <w:bCs/>
                <w:spacing w:val="-2"/>
                <w:sz w:val="20"/>
                <w:szCs w:val="20"/>
                <w:lang w:val="en-US" w:eastAsia="zh-CN"/>
              </w:rPr>
              <w:t>代码</w:t>
            </w:r>
            <w:r>
              <w:rPr>
                <w:rFonts w:hint="eastAsia" w:ascii="楷体" w:hAnsi="楷体" w:eastAsia="楷体" w:cs="楷体"/>
                <w:b/>
                <w:bCs/>
                <w:spacing w:val="-2"/>
                <w:sz w:val="20"/>
                <w:szCs w:val="20"/>
                <w:lang w:val="en-US" w:eastAsia="zh-CN"/>
              </w:rPr>
              <w:t>）</w:t>
            </w:r>
          </w:p>
        </w:tc>
        <w:tc>
          <w:tcPr>
            <w:tcW w:w="5310" w:type="dxa"/>
            <w:shd w:val="clear" w:color="auto" w:fill="auto"/>
            <w:vAlign w:val="center"/>
          </w:tcPr>
          <w:p w14:paraId="3AE4B83E">
            <w:pPr>
              <w:keepNext w:val="0"/>
              <w:keepLines w:val="0"/>
              <w:pageBreakBefore w:val="0"/>
              <w:widowControl/>
              <w:kinsoku w:val="0"/>
              <w:wordWrap/>
              <w:overflowPunct/>
              <w:topLinePunct w:val="0"/>
              <w:autoSpaceDE w:val="0"/>
              <w:autoSpaceDN w:val="0"/>
              <w:bidi w:val="0"/>
              <w:adjustRightInd w:val="0"/>
              <w:snapToGrid w:val="0"/>
              <w:spacing w:line="240" w:lineRule="auto"/>
              <w:ind w:left="817"/>
              <w:jc w:val="center"/>
              <w:textAlignment w:val="baseline"/>
              <w:rPr>
                <w:rFonts w:ascii="楷体" w:hAnsi="楷体" w:eastAsia="楷体" w:cs="楷体"/>
                <w:b w:val="0"/>
                <w:bCs w:val="0"/>
                <w:spacing w:val="-2"/>
                <w:sz w:val="20"/>
                <w:szCs w:val="20"/>
                <w:lang w:val="en-US" w:eastAsia="en-US"/>
              </w:rPr>
            </w:pPr>
            <w:r>
              <w:rPr>
                <w:rFonts w:hint="eastAsia" w:ascii="楷体" w:hAnsi="楷体" w:eastAsia="楷体" w:cs="楷体"/>
                <w:b w:val="0"/>
                <w:bCs w:val="0"/>
                <w:spacing w:val="-2"/>
                <w:sz w:val="20"/>
                <w:szCs w:val="20"/>
                <w:lang w:val="en-US" w:eastAsia="en-US"/>
              </w:rPr>
              <w:t>口腔医学技师（2-05-07-02）</w:t>
            </w:r>
            <w:r>
              <w:rPr>
                <w:rFonts w:hint="eastAsia" w:ascii="楷体" w:hAnsi="楷体" w:eastAsia="楷体" w:cs="楷体"/>
                <w:b w:val="0"/>
                <w:bCs w:val="0"/>
                <w:spacing w:val="-2"/>
                <w:sz w:val="20"/>
                <w:szCs w:val="20"/>
                <w:lang w:val="en-US" w:eastAsia="en-US"/>
              </w:rPr>
              <w:br w:type="textWrapping"/>
            </w:r>
            <w:r>
              <w:rPr>
                <w:rFonts w:hint="eastAsia" w:ascii="楷体" w:hAnsi="楷体" w:eastAsia="楷体" w:cs="楷体"/>
                <w:b w:val="0"/>
                <w:bCs w:val="0"/>
                <w:spacing w:val="-2"/>
                <w:sz w:val="20"/>
                <w:szCs w:val="20"/>
                <w:lang w:val="en-US" w:eastAsia="en-US"/>
              </w:rPr>
              <w:t>口腔修复体制作师（4-14-03-02）</w:t>
            </w:r>
          </w:p>
        </w:tc>
      </w:tr>
      <w:tr w14:paraId="2424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10" w:hRule="exact"/>
        </w:trPr>
        <w:tc>
          <w:tcPr>
            <w:tcW w:w="3269" w:type="dxa"/>
            <w:shd w:val="clear" w:color="auto" w:fill="auto"/>
            <w:vAlign w:val="center"/>
          </w:tcPr>
          <w:p w14:paraId="7269B16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en-US"/>
              </w:rPr>
            </w:pPr>
            <w:r>
              <w:rPr>
                <w:rFonts w:ascii="楷体" w:hAnsi="楷体" w:eastAsia="楷体" w:cs="楷体"/>
                <w:b/>
                <w:bCs/>
                <w:spacing w:val="-2"/>
                <w:sz w:val="20"/>
                <w:szCs w:val="20"/>
                <w:lang w:val="en-US" w:eastAsia="zh-CN"/>
              </w:rPr>
              <w:t>主要岗位</w:t>
            </w:r>
            <w:r>
              <w:rPr>
                <w:rFonts w:hint="eastAsia" w:ascii="楷体" w:hAnsi="楷体" w:eastAsia="楷体" w:cs="楷体"/>
                <w:b/>
                <w:bCs/>
                <w:spacing w:val="-2"/>
                <w:sz w:val="20"/>
                <w:szCs w:val="20"/>
                <w:lang w:val="en-US" w:eastAsia="zh-CN"/>
              </w:rPr>
              <w:t>（</w:t>
            </w:r>
            <w:r>
              <w:rPr>
                <w:rFonts w:ascii="楷体" w:hAnsi="楷体" w:eastAsia="楷体" w:cs="楷体"/>
                <w:b/>
                <w:bCs/>
                <w:spacing w:val="-2"/>
                <w:sz w:val="20"/>
                <w:szCs w:val="20"/>
                <w:lang w:val="en-US" w:eastAsia="zh-CN"/>
              </w:rPr>
              <w:t>群</w:t>
            </w:r>
            <w:r>
              <w:rPr>
                <w:rFonts w:hint="eastAsia" w:ascii="楷体" w:hAnsi="楷体" w:eastAsia="楷体" w:cs="楷体"/>
                <w:b/>
                <w:bCs/>
                <w:spacing w:val="-2"/>
                <w:sz w:val="20"/>
                <w:szCs w:val="20"/>
                <w:lang w:val="en-US" w:eastAsia="zh-CN"/>
              </w:rPr>
              <w:t>）</w:t>
            </w:r>
            <w:r>
              <w:rPr>
                <w:rFonts w:ascii="楷体" w:hAnsi="楷体" w:eastAsia="楷体" w:cs="楷体"/>
                <w:b/>
                <w:bCs/>
                <w:spacing w:val="-2"/>
                <w:sz w:val="20"/>
                <w:szCs w:val="20"/>
                <w:lang w:val="en-US" w:eastAsia="zh-CN"/>
              </w:rPr>
              <w:t>或技术领域</w:t>
            </w:r>
          </w:p>
        </w:tc>
        <w:tc>
          <w:tcPr>
            <w:tcW w:w="5310" w:type="dxa"/>
            <w:shd w:val="clear" w:color="auto" w:fill="auto"/>
            <w:vAlign w:val="center"/>
          </w:tcPr>
          <w:p w14:paraId="26E2C2D6">
            <w:pPr>
              <w:keepNext w:val="0"/>
              <w:keepLines w:val="0"/>
              <w:pageBreakBefore w:val="0"/>
              <w:widowControl/>
              <w:kinsoku w:val="0"/>
              <w:wordWrap/>
              <w:overflowPunct/>
              <w:topLinePunct w:val="0"/>
              <w:autoSpaceDE w:val="0"/>
              <w:autoSpaceDN w:val="0"/>
              <w:bidi w:val="0"/>
              <w:adjustRightInd w:val="0"/>
              <w:snapToGrid w:val="0"/>
              <w:spacing w:line="240" w:lineRule="auto"/>
              <w:ind w:left="817"/>
              <w:jc w:val="center"/>
              <w:textAlignment w:val="baseline"/>
              <w:rPr>
                <w:rFonts w:hint="eastAsia" w:ascii="楷体" w:hAnsi="楷体" w:eastAsia="楷体" w:cs="楷体"/>
                <w:b w:val="0"/>
                <w:bCs w:val="0"/>
                <w:spacing w:val="-2"/>
                <w:sz w:val="20"/>
                <w:szCs w:val="20"/>
                <w:lang w:val="en-US" w:eastAsia="en-US"/>
              </w:rPr>
            </w:pPr>
            <w:r>
              <w:rPr>
                <w:rFonts w:hint="eastAsia" w:ascii="楷体" w:hAnsi="楷体" w:eastAsia="楷体" w:cs="楷体"/>
                <w:b w:val="0"/>
                <w:bCs w:val="0"/>
                <w:spacing w:val="-2"/>
                <w:sz w:val="20"/>
                <w:szCs w:val="20"/>
                <w:lang w:val="en-US" w:eastAsia="en-US"/>
              </w:rPr>
              <w:t xml:space="preserve">1.口腔修复体设计制作岗位 </w:t>
            </w:r>
          </w:p>
          <w:p w14:paraId="39BEDD56">
            <w:pPr>
              <w:keepNext w:val="0"/>
              <w:keepLines w:val="0"/>
              <w:pageBreakBefore w:val="0"/>
              <w:widowControl/>
              <w:kinsoku w:val="0"/>
              <w:wordWrap/>
              <w:overflowPunct/>
              <w:topLinePunct w:val="0"/>
              <w:autoSpaceDE w:val="0"/>
              <w:autoSpaceDN w:val="0"/>
              <w:bidi w:val="0"/>
              <w:adjustRightInd w:val="0"/>
              <w:snapToGrid w:val="0"/>
              <w:spacing w:line="240" w:lineRule="auto"/>
              <w:ind w:left="817"/>
              <w:jc w:val="center"/>
              <w:textAlignment w:val="baseline"/>
              <w:rPr>
                <w:rFonts w:hint="eastAsia" w:ascii="楷体" w:hAnsi="楷体" w:eastAsia="楷体" w:cs="楷体"/>
                <w:b w:val="0"/>
                <w:bCs w:val="0"/>
                <w:spacing w:val="-2"/>
                <w:sz w:val="20"/>
                <w:szCs w:val="20"/>
                <w:lang w:val="en-US" w:eastAsia="en-US"/>
              </w:rPr>
            </w:pPr>
            <w:r>
              <w:rPr>
                <w:rFonts w:hint="eastAsia" w:ascii="楷体" w:hAnsi="楷体" w:eastAsia="楷体" w:cs="楷体"/>
                <w:b w:val="0"/>
                <w:bCs w:val="0"/>
                <w:spacing w:val="-2"/>
                <w:sz w:val="20"/>
                <w:szCs w:val="20"/>
                <w:lang w:val="en-US" w:eastAsia="en-US"/>
              </w:rPr>
              <w:t xml:space="preserve">2.口腔数字化椅旁技师岗位 </w:t>
            </w:r>
          </w:p>
          <w:p w14:paraId="0D64870F">
            <w:pPr>
              <w:keepNext w:val="0"/>
              <w:keepLines w:val="0"/>
              <w:pageBreakBefore w:val="0"/>
              <w:widowControl/>
              <w:kinsoku w:val="0"/>
              <w:wordWrap/>
              <w:overflowPunct/>
              <w:topLinePunct w:val="0"/>
              <w:autoSpaceDE w:val="0"/>
              <w:autoSpaceDN w:val="0"/>
              <w:bidi w:val="0"/>
              <w:adjustRightInd w:val="0"/>
              <w:snapToGrid w:val="0"/>
              <w:spacing w:line="240" w:lineRule="auto"/>
              <w:ind w:left="817"/>
              <w:jc w:val="center"/>
              <w:textAlignment w:val="baseline"/>
              <w:rPr>
                <w:rFonts w:hint="eastAsia" w:ascii="楷体" w:hAnsi="楷体" w:eastAsia="楷体" w:cs="楷体"/>
                <w:b w:val="0"/>
                <w:bCs w:val="0"/>
                <w:spacing w:val="-2"/>
                <w:sz w:val="20"/>
                <w:szCs w:val="20"/>
                <w:lang w:val="en-US" w:eastAsia="en-US"/>
              </w:rPr>
            </w:pPr>
            <w:r>
              <w:rPr>
                <w:rFonts w:hint="eastAsia" w:ascii="楷体" w:hAnsi="楷体" w:eastAsia="楷体" w:cs="楷体"/>
                <w:b w:val="0"/>
                <w:bCs w:val="0"/>
                <w:spacing w:val="-2"/>
                <w:sz w:val="20"/>
                <w:szCs w:val="20"/>
                <w:lang w:val="en-US" w:eastAsia="en-US"/>
              </w:rPr>
              <w:t xml:space="preserve">3.口腔器械材料销售岗位 </w:t>
            </w:r>
          </w:p>
          <w:p w14:paraId="2BFCD869">
            <w:pPr>
              <w:keepNext w:val="0"/>
              <w:keepLines w:val="0"/>
              <w:pageBreakBefore w:val="0"/>
              <w:widowControl/>
              <w:kinsoku w:val="0"/>
              <w:wordWrap/>
              <w:overflowPunct/>
              <w:topLinePunct w:val="0"/>
              <w:autoSpaceDE w:val="0"/>
              <w:autoSpaceDN w:val="0"/>
              <w:bidi w:val="0"/>
              <w:adjustRightInd w:val="0"/>
              <w:snapToGrid w:val="0"/>
              <w:spacing w:line="240" w:lineRule="auto"/>
              <w:ind w:left="817"/>
              <w:jc w:val="center"/>
              <w:textAlignment w:val="baseline"/>
              <w:rPr>
                <w:rFonts w:hint="default" w:ascii="楷体" w:hAnsi="楷体" w:eastAsia="楷体" w:cs="楷体"/>
                <w:b w:val="0"/>
                <w:bCs w:val="0"/>
                <w:spacing w:val="-2"/>
                <w:sz w:val="20"/>
                <w:szCs w:val="20"/>
                <w:lang w:val="en-US" w:eastAsia="zh-CN"/>
              </w:rPr>
            </w:pPr>
            <w:r>
              <w:rPr>
                <w:rFonts w:hint="eastAsia" w:ascii="楷体" w:hAnsi="楷体" w:eastAsia="楷体" w:cs="楷体"/>
                <w:b w:val="0"/>
                <w:bCs w:val="0"/>
                <w:spacing w:val="-2"/>
                <w:sz w:val="20"/>
                <w:szCs w:val="20"/>
                <w:lang w:val="en-US" w:eastAsia="en-US"/>
              </w:rPr>
              <w:t>4.口腔正畸设计</w:t>
            </w:r>
            <w:r>
              <w:rPr>
                <w:rFonts w:hint="eastAsia" w:ascii="楷体" w:hAnsi="楷体" w:eastAsia="楷体" w:cs="楷体"/>
                <w:b w:val="0"/>
                <w:bCs w:val="0"/>
                <w:spacing w:val="-2"/>
                <w:sz w:val="20"/>
                <w:szCs w:val="20"/>
                <w:lang w:val="en-US" w:eastAsia="zh-CN"/>
              </w:rPr>
              <w:t>生产岗位</w:t>
            </w:r>
          </w:p>
        </w:tc>
      </w:tr>
      <w:tr w14:paraId="09D9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trPr>
        <w:tc>
          <w:tcPr>
            <w:tcW w:w="3269" w:type="dxa"/>
            <w:shd w:val="clear" w:color="auto" w:fill="auto"/>
            <w:vAlign w:val="center"/>
          </w:tcPr>
          <w:p w14:paraId="5C03861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en-US"/>
              </w:rPr>
            </w:pPr>
            <w:r>
              <w:rPr>
                <w:rFonts w:ascii="楷体" w:hAnsi="楷体" w:eastAsia="楷体" w:cs="楷体"/>
                <w:b/>
                <w:bCs/>
                <w:spacing w:val="-2"/>
                <w:sz w:val="20"/>
                <w:szCs w:val="20"/>
                <w:lang w:val="en-US" w:eastAsia="zh-CN"/>
              </w:rPr>
              <w:t>职业类证书</w:t>
            </w:r>
          </w:p>
        </w:tc>
        <w:tc>
          <w:tcPr>
            <w:tcW w:w="5310" w:type="dxa"/>
            <w:shd w:val="clear" w:color="auto" w:fill="auto"/>
            <w:vAlign w:val="center"/>
          </w:tcPr>
          <w:p w14:paraId="7B630E0F">
            <w:pPr>
              <w:keepNext w:val="0"/>
              <w:keepLines w:val="0"/>
              <w:pageBreakBefore w:val="0"/>
              <w:widowControl/>
              <w:kinsoku w:val="0"/>
              <w:wordWrap/>
              <w:overflowPunct/>
              <w:topLinePunct w:val="0"/>
              <w:autoSpaceDE w:val="0"/>
              <w:autoSpaceDN w:val="0"/>
              <w:bidi w:val="0"/>
              <w:adjustRightInd w:val="0"/>
              <w:snapToGrid w:val="0"/>
              <w:spacing w:line="240" w:lineRule="auto"/>
              <w:ind w:left="817"/>
              <w:jc w:val="center"/>
              <w:textAlignment w:val="baseline"/>
              <w:rPr>
                <w:rFonts w:hint="default" w:ascii="楷体" w:hAnsi="楷体" w:eastAsia="楷体" w:cs="楷体"/>
                <w:b w:val="0"/>
                <w:bCs w:val="0"/>
                <w:spacing w:val="-2"/>
                <w:sz w:val="20"/>
                <w:szCs w:val="20"/>
                <w:lang w:val="en-US" w:eastAsia="zh-CN"/>
              </w:rPr>
            </w:pPr>
            <w:r>
              <w:rPr>
                <w:rFonts w:hint="eastAsia" w:ascii="楷体" w:hAnsi="楷体" w:eastAsia="楷体" w:cs="楷体"/>
                <w:b w:val="0"/>
                <w:bCs w:val="0"/>
                <w:spacing w:val="-2"/>
                <w:sz w:val="20"/>
                <w:szCs w:val="20"/>
                <w:lang w:val="en-US" w:eastAsia="en-US"/>
              </w:rPr>
              <w:t>口腔修复体制作师（4-14-03-02）</w:t>
            </w:r>
            <w:r>
              <w:rPr>
                <w:rFonts w:hint="eastAsia" w:ascii="楷体" w:hAnsi="楷体" w:eastAsia="楷体" w:cs="楷体"/>
                <w:b w:val="0"/>
                <w:bCs w:val="0"/>
                <w:spacing w:val="-2"/>
                <w:sz w:val="20"/>
                <w:szCs w:val="20"/>
                <w:lang w:val="en-US" w:eastAsia="en-US"/>
              </w:rPr>
              <w:br w:type="textWrapping"/>
            </w:r>
            <w:r>
              <w:rPr>
                <w:rFonts w:hint="eastAsia" w:ascii="楷体" w:hAnsi="楷体" w:eastAsia="楷体" w:cs="楷体"/>
                <w:b w:val="0"/>
                <w:bCs w:val="0"/>
                <w:spacing w:val="-2"/>
                <w:sz w:val="20"/>
                <w:szCs w:val="20"/>
                <w:lang w:val="en-US" w:eastAsia="zh-CN"/>
              </w:rPr>
              <w:t>口腔医学技术（士）（103）</w:t>
            </w:r>
          </w:p>
        </w:tc>
      </w:tr>
    </w:tbl>
    <w:p w14:paraId="0F0CFAEE">
      <w:pPr>
        <w:pStyle w:val="4"/>
        <w:pageBreakBefore w:val="0"/>
        <w:widowControl/>
        <w:kinsoku w:val="0"/>
        <w:wordWrap/>
        <w:overflowPunct/>
        <w:topLinePunct w:val="0"/>
        <w:autoSpaceDE w:val="0"/>
        <w:autoSpaceDN w:val="0"/>
        <w:bidi w:val="0"/>
        <w:adjustRightInd w:val="0"/>
        <w:snapToGrid w:val="0"/>
        <w:spacing w:line="240" w:lineRule="auto"/>
        <w:textAlignment w:val="baseline"/>
        <w:rPr>
          <w:rFonts w:hint="eastAsia" w:ascii="仿宋_GB2312" w:hAnsi="Times New Roman" w:eastAsia="仿宋_GB2312" w:cs="Times New Roman"/>
          <w:color w:val="0000FF"/>
          <w:kern w:val="2"/>
          <w:sz w:val="24"/>
          <w:szCs w:val="24"/>
          <w:lang w:val="en-US" w:eastAsia="zh-CN" w:bidi="ar-SA"/>
        </w:rPr>
      </w:pPr>
    </w:p>
    <w:p w14:paraId="74DAEE52">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9" w:name="_Toc6355"/>
      <w:bookmarkStart w:id="10" w:name="_Toc8197"/>
      <w:r>
        <w:rPr>
          <w:rFonts w:hint="eastAsia"/>
          <w:lang w:eastAsia="zh-CN"/>
        </w:rPr>
        <w:t>（</w:t>
      </w:r>
      <w:r>
        <w:rPr>
          <w:rFonts w:hint="eastAsia"/>
          <w:lang w:val="en-US" w:eastAsia="zh-CN"/>
        </w:rPr>
        <w:t>二</w:t>
      </w:r>
      <w:r>
        <w:rPr>
          <w:rFonts w:hint="eastAsia"/>
          <w:lang w:eastAsia="zh-CN"/>
        </w:rPr>
        <w:t>）</w:t>
      </w:r>
      <w:r>
        <w:t>就业岗位及相应职业能力描述</w:t>
      </w:r>
      <w:bookmarkEnd w:id="9"/>
      <w:bookmarkEnd w:id="10"/>
    </w:p>
    <w:p w14:paraId="217D22AF">
      <w:pPr>
        <w:spacing w:line="53" w:lineRule="auto"/>
        <w:rPr>
          <w:rFonts w:ascii="Arial"/>
          <w:sz w:val="2"/>
        </w:rPr>
      </w:pPr>
    </w:p>
    <w:tbl>
      <w:tblPr>
        <w:tblStyle w:val="13"/>
        <w:tblW w:w="8935"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4"/>
        <w:gridCol w:w="1573"/>
        <w:gridCol w:w="2409"/>
        <w:gridCol w:w="2549"/>
        <w:gridCol w:w="1690"/>
      </w:tblGrid>
      <w:tr w14:paraId="24C4D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714" w:type="dxa"/>
            <w:vAlign w:val="center"/>
          </w:tcPr>
          <w:p w14:paraId="7800147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序号</w:t>
            </w:r>
          </w:p>
        </w:tc>
        <w:tc>
          <w:tcPr>
            <w:tcW w:w="1573" w:type="dxa"/>
            <w:vAlign w:val="center"/>
          </w:tcPr>
          <w:p w14:paraId="2D53645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就业岗位</w:t>
            </w:r>
          </w:p>
        </w:tc>
        <w:tc>
          <w:tcPr>
            <w:tcW w:w="2409" w:type="dxa"/>
            <w:vAlign w:val="center"/>
          </w:tcPr>
          <w:p w14:paraId="338256B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岗位描述</w:t>
            </w:r>
          </w:p>
        </w:tc>
        <w:tc>
          <w:tcPr>
            <w:tcW w:w="2549" w:type="dxa"/>
            <w:vAlign w:val="center"/>
          </w:tcPr>
          <w:p w14:paraId="103FE7F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职业能力</w:t>
            </w:r>
          </w:p>
        </w:tc>
        <w:tc>
          <w:tcPr>
            <w:tcW w:w="1690" w:type="dxa"/>
            <w:vAlign w:val="center"/>
          </w:tcPr>
          <w:p w14:paraId="5414351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职/执业资格</w:t>
            </w:r>
          </w:p>
        </w:tc>
      </w:tr>
      <w:tr w14:paraId="63D2B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714" w:type="dxa"/>
            <w:vAlign w:val="center"/>
          </w:tcPr>
          <w:p w14:paraId="394A6BD0">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sz w:val="20"/>
                <w:szCs w:val="20"/>
              </w:rPr>
            </w:pPr>
            <w:r>
              <w:rPr>
                <w:rFonts w:hint="eastAsia" w:ascii="楷体" w:hAnsi="楷体" w:eastAsia="楷体" w:cs="楷体"/>
                <w:b w:val="0"/>
                <w:bCs/>
                <w:color w:val="auto"/>
                <w:sz w:val="20"/>
                <w:szCs w:val="20"/>
              </w:rPr>
              <w:t>1</w:t>
            </w:r>
          </w:p>
        </w:tc>
        <w:tc>
          <w:tcPr>
            <w:tcW w:w="1573" w:type="dxa"/>
            <w:vAlign w:val="center"/>
          </w:tcPr>
          <w:p w14:paraId="641F7809">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sz w:val="20"/>
                <w:szCs w:val="20"/>
              </w:rPr>
            </w:pPr>
            <w:r>
              <w:rPr>
                <w:rFonts w:hint="eastAsia" w:ascii="楷体" w:hAnsi="楷体" w:eastAsia="楷体" w:cs="楷体"/>
                <w:b w:val="0"/>
                <w:bCs/>
                <w:color w:val="auto"/>
                <w:sz w:val="20"/>
                <w:szCs w:val="20"/>
                <w:lang w:val="en-US" w:eastAsia="zh-CN"/>
              </w:rPr>
              <w:t xml:space="preserve">口腔修复体设计制作岗位 </w:t>
            </w:r>
          </w:p>
        </w:tc>
        <w:tc>
          <w:tcPr>
            <w:tcW w:w="2409" w:type="dxa"/>
            <w:vAlign w:val="center"/>
          </w:tcPr>
          <w:p w14:paraId="0EAEE22E">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sz w:val="20"/>
                <w:szCs w:val="20"/>
              </w:rPr>
            </w:pPr>
            <w:r>
              <w:rPr>
                <w:rFonts w:hint="eastAsia" w:ascii="楷体" w:hAnsi="楷体" w:eastAsia="楷体" w:cs="楷体"/>
                <w:b w:val="0"/>
                <w:bCs/>
                <w:color w:val="auto"/>
                <w:sz w:val="20"/>
                <w:szCs w:val="20"/>
              </w:rPr>
              <w:t>在各级各类口腔</w:t>
            </w:r>
            <w:r>
              <w:rPr>
                <w:rFonts w:hint="eastAsia" w:ascii="楷体" w:hAnsi="楷体" w:eastAsia="楷体" w:cs="楷体"/>
                <w:b w:val="0"/>
                <w:bCs/>
                <w:color w:val="auto"/>
                <w:sz w:val="20"/>
                <w:szCs w:val="20"/>
                <w:lang w:val="en-US" w:eastAsia="zh-CN"/>
              </w:rPr>
              <w:t>医疗机构的技工室</w:t>
            </w:r>
            <w:r>
              <w:rPr>
                <w:rFonts w:hint="eastAsia" w:ascii="楷体" w:hAnsi="楷体" w:eastAsia="楷体" w:cs="楷体"/>
                <w:b w:val="0"/>
                <w:bCs/>
                <w:color w:val="auto"/>
                <w:sz w:val="20"/>
                <w:szCs w:val="20"/>
              </w:rPr>
              <w:t>、义齿加工企业从事各类口腔修复体、矫治器、赝复体等制作工作</w:t>
            </w:r>
          </w:p>
        </w:tc>
        <w:tc>
          <w:tcPr>
            <w:tcW w:w="2549" w:type="dxa"/>
            <w:vAlign w:val="center"/>
          </w:tcPr>
          <w:p w14:paraId="7E70F73B">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1.掌握素描的基本方法，具有一定的美学知识</w:t>
            </w:r>
          </w:p>
          <w:p w14:paraId="6A8A3C4E">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2.具有识别和辨认各个牙齿并能熟练雕刻的能力</w:t>
            </w:r>
          </w:p>
          <w:p w14:paraId="6B1BD2C9">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3.具有合理选择、 正确使用口腔材料、口腔器械的能力</w:t>
            </w:r>
          </w:p>
          <w:p w14:paraId="6FE319ED">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4.具有熟练制作全口义齿、可摘局部义齿</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rPr>
              <w:t>固定义齿</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lang w:val="en-US" w:eastAsia="zh-CN"/>
              </w:rPr>
              <w:t>矫治器、</w:t>
            </w:r>
            <w:r>
              <w:rPr>
                <w:rFonts w:hint="eastAsia" w:ascii="楷体" w:hAnsi="楷体" w:eastAsia="楷体" w:cs="楷体"/>
                <w:b w:val="0"/>
                <w:bCs/>
                <w:color w:val="auto"/>
                <w:sz w:val="20"/>
                <w:szCs w:val="20"/>
              </w:rPr>
              <w:t>赝复体的能力</w:t>
            </w:r>
          </w:p>
          <w:p w14:paraId="74A3BC7C">
            <w:pPr>
              <w:keepNext w:val="0"/>
              <w:keepLines w:val="0"/>
              <w:pageBreakBefore w:val="0"/>
              <w:widowControl/>
              <w:kinsoku/>
              <w:wordWrap/>
              <w:overflowPunct/>
              <w:topLinePunct w:val="0"/>
              <w:autoSpaceDE w:val="0"/>
              <w:autoSpaceDN w:val="0"/>
              <w:bidi w:val="0"/>
              <w:adjustRightInd w:val="0"/>
              <w:snapToGrid w:val="0"/>
              <w:textAlignment w:val="baseline"/>
              <w:rPr>
                <w:b w:val="0"/>
                <w:bCs/>
                <w:sz w:val="20"/>
                <w:szCs w:val="20"/>
              </w:rPr>
            </w:pPr>
            <w:r>
              <w:rPr>
                <w:rFonts w:hint="eastAsia" w:ascii="楷体" w:hAnsi="楷体" w:eastAsia="楷体" w:cs="楷体"/>
                <w:b w:val="0"/>
                <w:bCs/>
                <w:color w:val="auto"/>
                <w:sz w:val="20"/>
                <w:szCs w:val="20"/>
              </w:rPr>
              <w:t>5.具有较强的专业服务意识和质量意识</w:t>
            </w:r>
            <w:r>
              <w:rPr>
                <w:rFonts w:hint="eastAsia" w:ascii="楷体" w:hAnsi="楷体" w:eastAsia="楷体" w:cs="楷体"/>
                <w:b w:val="0"/>
                <w:bCs/>
                <w:color w:val="auto"/>
                <w:sz w:val="20"/>
                <w:szCs w:val="20"/>
                <w:lang w:eastAsia="zh-CN"/>
              </w:rPr>
              <w:t>，具</w:t>
            </w:r>
            <w:r>
              <w:rPr>
                <w:rFonts w:hint="eastAsia" w:ascii="楷体" w:hAnsi="楷体" w:eastAsia="楷体" w:cs="楷体"/>
                <w:b w:val="0"/>
                <w:bCs/>
                <w:color w:val="auto"/>
                <w:sz w:val="20"/>
                <w:szCs w:val="20"/>
              </w:rPr>
              <w:t>有良好的医技沟通能力</w:t>
            </w:r>
          </w:p>
        </w:tc>
        <w:tc>
          <w:tcPr>
            <w:tcW w:w="1690" w:type="dxa"/>
            <w:vAlign w:val="center"/>
          </w:tcPr>
          <w:p w14:paraId="1C20E45A">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sz w:val="20"/>
                <w:szCs w:val="20"/>
                <w:lang w:eastAsia="zh-CN"/>
              </w:rPr>
            </w:pPr>
            <w:r>
              <w:rPr>
                <w:rFonts w:hint="eastAsia" w:ascii="楷体" w:hAnsi="楷体" w:eastAsia="楷体" w:cs="楷体"/>
                <w:b w:val="0"/>
                <w:bCs/>
                <w:color w:val="auto"/>
                <w:sz w:val="20"/>
                <w:szCs w:val="20"/>
              </w:rPr>
              <w:t>口腔</w:t>
            </w:r>
            <w:r>
              <w:rPr>
                <w:rFonts w:hint="eastAsia" w:ascii="楷体" w:hAnsi="楷体" w:eastAsia="楷体" w:cs="楷体"/>
                <w:b w:val="0"/>
                <w:bCs/>
                <w:color w:val="auto"/>
                <w:sz w:val="20"/>
                <w:szCs w:val="20"/>
                <w:lang w:val="en-US" w:eastAsia="zh-CN"/>
              </w:rPr>
              <w:t>医学技术（士）</w:t>
            </w:r>
            <w:r>
              <w:rPr>
                <w:rFonts w:hint="eastAsia" w:ascii="楷体" w:hAnsi="楷体" w:eastAsia="楷体" w:cs="楷体"/>
                <w:b w:val="0"/>
                <w:bCs/>
                <w:color w:val="auto"/>
                <w:sz w:val="20"/>
                <w:szCs w:val="20"/>
                <w:lang w:eastAsia="zh-CN"/>
              </w:rPr>
              <w:t>、</w:t>
            </w:r>
          </w:p>
          <w:p w14:paraId="12B6823A">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sz w:val="20"/>
                <w:szCs w:val="20"/>
              </w:rPr>
            </w:pPr>
            <w:r>
              <w:rPr>
                <w:rFonts w:hint="eastAsia" w:ascii="楷体" w:hAnsi="楷体" w:eastAsia="楷体" w:cs="楷体"/>
                <w:b w:val="0"/>
                <w:bCs/>
                <w:color w:val="auto"/>
                <w:sz w:val="20"/>
                <w:szCs w:val="20"/>
              </w:rPr>
              <w:t>口腔修复</w:t>
            </w:r>
            <w:r>
              <w:rPr>
                <w:rFonts w:hint="eastAsia" w:ascii="楷体" w:hAnsi="楷体" w:eastAsia="楷体" w:cs="楷体"/>
                <w:b w:val="0"/>
                <w:bCs/>
                <w:color w:val="auto"/>
                <w:sz w:val="20"/>
                <w:szCs w:val="20"/>
                <w:lang w:val="en-US" w:eastAsia="zh-CN"/>
              </w:rPr>
              <w:t>体制作师</w:t>
            </w:r>
          </w:p>
        </w:tc>
      </w:tr>
      <w:tr w14:paraId="0C98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trPr>
        <w:tc>
          <w:tcPr>
            <w:tcW w:w="714" w:type="dxa"/>
            <w:vAlign w:val="center"/>
          </w:tcPr>
          <w:p w14:paraId="37F60DB0">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sz w:val="20"/>
                <w:szCs w:val="20"/>
              </w:rPr>
            </w:pPr>
            <w:r>
              <w:rPr>
                <w:rFonts w:hint="eastAsia" w:ascii="楷体" w:hAnsi="楷体" w:eastAsia="楷体" w:cs="楷体"/>
                <w:b w:val="0"/>
                <w:bCs/>
                <w:color w:val="auto"/>
                <w:sz w:val="20"/>
                <w:szCs w:val="20"/>
                <w:lang w:val="en-US" w:eastAsia="zh-CN"/>
              </w:rPr>
              <w:t>2</w:t>
            </w:r>
          </w:p>
        </w:tc>
        <w:tc>
          <w:tcPr>
            <w:tcW w:w="1573" w:type="dxa"/>
            <w:vAlign w:val="center"/>
          </w:tcPr>
          <w:p w14:paraId="4CE4ACCC">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sz w:val="20"/>
                <w:szCs w:val="20"/>
              </w:rPr>
            </w:pPr>
            <w:r>
              <w:rPr>
                <w:rFonts w:hint="eastAsia" w:ascii="楷体" w:hAnsi="楷体" w:eastAsia="楷体" w:cs="楷体"/>
                <w:b w:val="0"/>
                <w:bCs/>
                <w:color w:val="auto"/>
                <w:sz w:val="20"/>
                <w:szCs w:val="20"/>
                <w:lang w:val="en-US" w:eastAsia="zh-CN"/>
              </w:rPr>
              <w:t xml:space="preserve">椅旁技师岗位 </w:t>
            </w:r>
          </w:p>
        </w:tc>
        <w:tc>
          <w:tcPr>
            <w:tcW w:w="2409" w:type="dxa"/>
            <w:vAlign w:val="center"/>
          </w:tcPr>
          <w:p w14:paraId="31338564">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sz w:val="20"/>
                <w:szCs w:val="20"/>
              </w:rPr>
            </w:pPr>
            <w:r>
              <w:rPr>
                <w:rFonts w:hint="eastAsia" w:ascii="楷体" w:hAnsi="楷体" w:eastAsia="楷体" w:cs="楷体"/>
                <w:b w:val="0"/>
                <w:bCs/>
                <w:color w:val="auto"/>
                <w:sz w:val="20"/>
                <w:szCs w:val="20"/>
              </w:rPr>
              <w:t>在各级各类医院口腔科</w:t>
            </w:r>
            <w:r>
              <w:rPr>
                <w:rFonts w:hint="eastAsia" w:ascii="楷体" w:hAnsi="楷体" w:eastAsia="楷体" w:cs="楷体"/>
                <w:b w:val="0"/>
                <w:bCs/>
                <w:color w:val="auto"/>
                <w:sz w:val="20"/>
                <w:szCs w:val="20"/>
                <w:lang w:val="en-US" w:eastAsia="zh-CN"/>
              </w:rPr>
              <w:t>从事</w:t>
            </w:r>
            <w:r>
              <w:rPr>
                <w:rFonts w:hint="eastAsia" w:ascii="楷体" w:hAnsi="楷体" w:eastAsia="楷体" w:cs="楷体"/>
                <w:b w:val="0"/>
                <w:bCs/>
                <w:color w:val="auto"/>
                <w:sz w:val="20"/>
                <w:szCs w:val="20"/>
              </w:rPr>
              <w:t>椅旁口扫</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rPr>
              <w:t>修复及导板设计制作</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rPr>
              <w:t>设备使用及维护</w:t>
            </w:r>
            <w:r>
              <w:rPr>
                <w:rFonts w:hint="eastAsia" w:ascii="楷体" w:hAnsi="楷体" w:eastAsia="楷体" w:cs="楷体"/>
                <w:b w:val="0"/>
                <w:bCs/>
                <w:color w:val="auto"/>
                <w:sz w:val="20"/>
                <w:szCs w:val="20"/>
                <w:lang w:val="en-US" w:eastAsia="zh-CN"/>
              </w:rPr>
              <w:t>等工作</w:t>
            </w:r>
          </w:p>
        </w:tc>
        <w:tc>
          <w:tcPr>
            <w:tcW w:w="2549" w:type="dxa"/>
            <w:vAlign w:val="center"/>
          </w:tcPr>
          <w:p w14:paraId="537C634A">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1.具有识别和辨认各个牙齿并能熟练雕刻的能力</w:t>
            </w:r>
          </w:p>
          <w:p w14:paraId="2DC2F4C0">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lang w:val="en-US" w:eastAsia="zh-CN"/>
              </w:rPr>
              <w:t>2</w:t>
            </w:r>
            <w:r>
              <w:rPr>
                <w:rFonts w:hint="eastAsia" w:ascii="楷体" w:hAnsi="楷体" w:eastAsia="楷体" w:cs="楷体"/>
                <w:b w:val="0"/>
                <w:bCs/>
                <w:color w:val="auto"/>
                <w:sz w:val="20"/>
                <w:szCs w:val="20"/>
              </w:rPr>
              <w:t>.具有合理选择</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rPr>
              <w:t>正确使用口腔材料、制品和口腔器械的能力</w:t>
            </w:r>
          </w:p>
          <w:p w14:paraId="0C29B7F8">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lang w:val="en-US" w:eastAsia="zh-CN"/>
              </w:rPr>
              <w:t>3</w:t>
            </w:r>
            <w:r>
              <w:rPr>
                <w:rFonts w:hint="eastAsia" w:ascii="楷体" w:hAnsi="楷体" w:eastAsia="楷体" w:cs="楷体"/>
                <w:b w:val="0"/>
                <w:bCs/>
                <w:color w:val="auto"/>
                <w:sz w:val="20"/>
                <w:szCs w:val="20"/>
              </w:rPr>
              <w:t>.具有熟练制作全口义齿、可摘局部义齿</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rPr>
              <w:t>固定义齿</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rPr>
              <w:t>修复及导板设计制作能力</w:t>
            </w:r>
          </w:p>
          <w:p w14:paraId="2B709282">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4.具有熟练的口内扫描、CAD/CAM操作能力</w:t>
            </w:r>
          </w:p>
          <w:p w14:paraId="49E949FE">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5.具有能正确使用和维护义齿加工制作常用的设备能力</w:t>
            </w:r>
          </w:p>
          <w:p w14:paraId="65581C1C">
            <w:pPr>
              <w:keepNext w:val="0"/>
              <w:keepLines w:val="0"/>
              <w:pageBreakBefore w:val="0"/>
              <w:widowControl/>
              <w:kinsoku/>
              <w:wordWrap/>
              <w:overflowPunct/>
              <w:topLinePunct w:val="0"/>
              <w:autoSpaceDE w:val="0"/>
              <w:autoSpaceDN w:val="0"/>
              <w:bidi w:val="0"/>
              <w:adjustRightInd w:val="0"/>
              <w:snapToGrid w:val="0"/>
              <w:textAlignment w:val="baseline"/>
              <w:rPr>
                <w:b w:val="0"/>
                <w:bCs/>
                <w:sz w:val="20"/>
                <w:szCs w:val="20"/>
              </w:rPr>
            </w:pPr>
            <w:r>
              <w:rPr>
                <w:rFonts w:hint="eastAsia" w:ascii="楷体" w:hAnsi="楷体" w:eastAsia="楷体" w:cs="楷体"/>
                <w:b w:val="0"/>
                <w:bCs/>
                <w:color w:val="auto"/>
                <w:sz w:val="20"/>
                <w:szCs w:val="20"/>
                <w:lang w:val="en-US" w:eastAsia="zh-CN"/>
              </w:rPr>
              <w:t xml:space="preserve">6.具有一定的信息技术应用和维护能力 </w:t>
            </w:r>
          </w:p>
        </w:tc>
        <w:tc>
          <w:tcPr>
            <w:tcW w:w="1690" w:type="dxa"/>
            <w:vAlign w:val="center"/>
          </w:tcPr>
          <w:p w14:paraId="0D7D980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sz w:val="20"/>
                <w:szCs w:val="20"/>
                <w:lang w:eastAsia="zh-CN"/>
              </w:rPr>
            </w:pPr>
            <w:r>
              <w:rPr>
                <w:rFonts w:hint="eastAsia" w:ascii="楷体" w:hAnsi="楷体" w:eastAsia="楷体" w:cs="楷体"/>
                <w:b w:val="0"/>
                <w:bCs/>
                <w:color w:val="auto"/>
                <w:sz w:val="20"/>
                <w:szCs w:val="20"/>
              </w:rPr>
              <w:t>口腔</w:t>
            </w:r>
            <w:r>
              <w:rPr>
                <w:rFonts w:hint="eastAsia" w:ascii="楷体" w:hAnsi="楷体" w:eastAsia="楷体" w:cs="楷体"/>
                <w:b w:val="0"/>
                <w:bCs/>
                <w:color w:val="auto"/>
                <w:sz w:val="20"/>
                <w:szCs w:val="20"/>
                <w:lang w:val="en-US" w:eastAsia="zh-CN"/>
              </w:rPr>
              <w:t>医学技术（士）</w:t>
            </w:r>
            <w:r>
              <w:rPr>
                <w:rFonts w:hint="eastAsia" w:ascii="楷体" w:hAnsi="楷体" w:eastAsia="楷体" w:cs="楷体"/>
                <w:b w:val="0"/>
                <w:bCs/>
                <w:color w:val="auto"/>
                <w:sz w:val="20"/>
                <w:szCs w:val="20"/>
                <w:lang w:eastAsia="zh-CN"/>
              </w:rPr>
              <w:t>、</w:t>
            </w:r>
          </w:p>
          <w:p w14:paraId="494A1104">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sz w:val="20"/>
                <w:szCs w:val="20"/>
              </w:rPr>
            </w:pPr>
            <w:r>
              <w:rPr>
                <w:rFonts w:hint="eastAsia" w:ascii="楷体" w:hAnsi="楷体" w:eastAsia="楷体" w:cs="楷体"/>
                <w:b w:val="0"/>
                <w:bCs/>
                <w:color w:val="auto"/>
                <w:sz w:val="20"/>
                <w:szCs w:val="20"/>
              </w:rPr>
              <w:t>口腔修复</w:t>
            </w:r>
            <w:r>
              <w:rPr>
                <w:rFonts w:hint="eastAsia" w:ascii="楷体" w:hAnsi="楷体" w:eastAsia="楷体" w:cs="楷体"/>
                <w:b w:val="0"/>
                <w:bCs/>
                <w:color w:val="auto"/>
                <w:sz w:val="20"/>
                <w:szCs w:val="20"/>
                <w:lang w:val="en-US" w:eastAsia="zh-CN"/>
              </w:rPr>
              <w:t>体制作师</w:t>
            </w:r>
          </w:p>
        </w:tc>
      </w:tr>
      <w:tr w14:paraId="6EC69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714" w:type="dxa"/>
            <w:vAlign w:val="center"/>
          </w:tcPr>
          <w:p w14:paraId="20EEF97F">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sz w:val="20"/>
                <w:szCs w:val="20"/>
              </w:rPr>
            </w:pPr>
            <w:r>
              <w:rPr>
                <w:rFonts w:hint="eastAsia" w:ascii="楷体" w:hAnsi="楷体" w:eastAsia="楷体" w:cs="楷体"/>
                <w:b w:val="0"/>
                <w:bCs/>
                <w:color w:val="auto"/>
                <w:sz w:val="20"/>
                <w:szCs w:val="20"/>
                <w:lang w:val="en-US" w:eastAsia="zh-CN"/>
              </w:rPr>
              <w:t>3</w:t>
            </w:r>
          </w:p>
        </w:tc>
        <w:tc>
          <w:tcPr>
            <w:tcW w:w="1573" w:type="dxa"/>
            <w:vAlign w:val="center"/>
          </w:tcPr>
          <w:p w14:paraId="1AB419C9">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sz w:val="20"/>
                <w:szCs w:val="20"/>
              </w:rPr>
            </w:pPr>
            <w:r>
              <w:rPr>
                <w:rFonts w:hint="eastAsia" w:ascii="楷体" w:hAnsi="楷体" w:eastAsia="楷体" w:cs="楷体"/>
                <w:b w:val="0"/>
                <w:bCs/>
                <w:color w:val="auto"/>
                <w:sz w:val="20"/>
                <w:szCs w:val="20"/>
                <w:lang w:val="en-US" w:eastAsia="zh-CN"/>
              </w:rPr>
              <w:t xml:space="preserve">口腔器械材料销售岗位 </w:t>
            </w:r>
          </w:p>
        </w:tc>
        <w:tc>
          <w:tcPr>
            <w:tcW w:w="2409" w:type="dxa"/>
            <w:vAlign w:val="center"/>
          </w:tcPr>
          <w:p w14:paraId="40A76BFD">
            <w:pPr>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在口腔仪器、设备及材料等生产企业的销售岗位从事营销工作</w:t>
            </w:r>
          </w:p>
          <w:p w14:paraId="7C96C5B6">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sz w:val="20"/>
                <w:szCs w:val="20"/>
              </w:rPr>
            </w:pPr>
          </w:p>
        </w:tc>
        <w:tc>
          <w:tcPr>
            <w:tcW w:w="2549" w:type="dxa"/>
            <w:vAlign w:val="center"/>
          </w:tcPr>
          <w:p w14:paraId="0FEF6D3F">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1.具有一定牙体、牙列缺损及缺失修复的基本理论</w:t>
            </w:r>
          </w:p>
          <w:p w14:paraId="21016AFE">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2.具有常见口腔各类修复体制作能力</w:t>
            </w:r>
          </w:p>
          <w:p w14:paraId="0550E90D">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3.具有义齿制作所需要的口腔材料学、设备学等理论知识</w:t>
            </w:r>
          </w:p>
          <w:p w14:paraId="0BA14ACB">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4.具有一定的口腔科常见设备的维护和保养能力</w:t>
            </w:r>
          </w:p>
          <w:p w14:paraId="307BFE07">
            <w:pPr>
              <w:keepNext w:val="0"/>
              <w:keepLines w:val="0"/>
              <w:pageBreakBefore w:val="0"/>
              <w:widowControl/>
              <w:kinsoku/>
              <w:wordWrap/>
              <w:overflowPunct/>
              <w:topLinePunct w:val="0"/>
              <w:autoSpaceDE w:val="0"/>
              <w:autoSpaceDN w:val="0"/>
              <w:bidi w:val="0"/>
              <w:adjustRightInd w:val="0"/>
              <w:snapToGrid w:val="0"/>
              <w:textAlignment w:val="baseline"/>
              <w:rPr>
                <w:b w:val="0"/>
                <w:bCs/>
                <w:sz w:val="20"/>
                <w:szCs w:val="20"/>
              </w:rPr>
            </w:pPr>
            <w:r>
              <w:rPr>
                <w:rFonts w:hint="eastAsia" w:ascii="楷体" w:hAnsi="楷体" w:eastAsia="楷体" w:cs="楷体"/>
                <w:b w:val="0"/>
                <w:bCs/>
                <w:color w:val="auto"/>
                <w:sz w:val="20"/>
                <w:szCs w:val="20"/>
              </w:rPr>
              <w:t>5.具有较强的专业服务意识和质量意识，能与服务对象进行有效沟通</w:t>
            </w:r>
          </w:p>
        </w:tc>
        <w:tc>
          <w:tcPr>
            <w:tcW w:w="1690" w:type="dxa"/>
            <w:vAlign w:val="center"/>
          </w:tcPr>
          <w:p w14:paraId="10EB7AE3">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sz w:val="20"/>
                <w:szCs w:val="20"/>
                <w:lang w:eastAsia="zh-CN"/>
              </w:rPr>
            </w:pPr>
            <w:r>
              <w:rPr>
                <w:rFonts w:hint="eastAsia" w:ascii="楷体" w:hAnsi="楷体" w:eastAsia="楷体" w:cs="楷体"/>
                <w:b w:val="0"/>
                <w:bCs/>
                <w:color w:val="auto"/>
                <w:sz w:val="20"/>
                <w:szCs w:val="20"/>
              </w:rPr>
              <w:t>口腔</w:t>
            </w:r>
            <w:r>
              <w:rPr>
                <w:rFonts w:hint="eastAsia" w:ascii="楷体" w:hAnsi="楷体" w:eastAsia="楷体" w:cs="楷体"/>
                <w:b w:val="0"/>
                <w:bCs/>
                <w:color w:val="auto"/>
                <w:sz w:val="20"/>
                <w:szCs w:val="20"/>
                <w:lang w:val="en-US" w:eastAsia="zh-CN"/>
              </w:rPr>
              <w:t>医学技术（士）</w:t>
            </w:r>
            <w:r>
              <w:rPr>
                <w:rFonts w:hint="eastAsia" w:ascii="楷体" w:hAnsi="楷体" w:eastAsia="楷体" w:cs="楷体"/>
                <w:b w:val="0"/>
                <w:bCs/>
                <w:color w:val="auto"/>
                <w:sz w:val="20"/>
                <w:szCs w:val="20"/>
                <w:lang w:eastAsia="zh-CN"/>
              </w:rPr>
              <w:t>、</w:t>
            </w:r>
          </w:p>
          <w:p w14:paraId="35D36FD6">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sz w:val="20"/>
                <w:szCs w:val="20"/>
              </w:rPr>
            </w:pPr>
            <w:r>
              <w:rPr>
                <w:rFonts w:hint="eastAsia" w:ascii="楷体" w:hAnsi="楷体" w:eastAsia="楷体" w:cs="楷体"/>
                <w:b w:val="0"/>
                <w:bCs/>
                <w:color w:val="auto"/>
                <w:sz w:val="20"/>
                <w:szCs w:val="20"/>
              </w:rPr>
              <w:t>口腔修复</w:t>
            </w:r>
            <w:r>
              <w:rPr>
                <w:rFonts w:hint="eastAsia" w:ascii="楷体" w:hAnsi="楷体" w:eastAsia="楷体" w:cs="楷体"/>
                <w:b w:val="0"/>
                <w:bCs/>
                <w:color w:val="auto"/>
                <w:sz w:val="20"/>
                <w:szCs w:val="20"/>
                <w:lang w:val="en-US" w:eastAsia="zh-CN"/>
              </w:rPr>
              <w:t>体制作师</w:t>
            </w:r>
          </w:p>
        </w:tc>
      </w:tr>
      <w:tr w14:paraId="5F22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714" w:type="dxa"/>
            <w:vAlign w:val="center"/>
          </w:tcPr>
          <w:p w14:paraId="4F455D98">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sz w:val="20"/>
                <w:szCs w:val="20"/>
              </w:rPr>
            </w:pPr>
            <w:r>
              <w:rPr>
                <w:rFonts w:hint="eastAsia" w:ascii="楷体" w:hAnsi="楷体" w:eastAsia="楷体" w:cs="楷体"/>
                <w:b w:val="0"/>
                <w:bCs/>
                <w:color w:val="auto"/>
                <w:sz w:val="20"/>
                <w:szCs w:val="20"/>
                <w:highlight w:val="none"/>
                <w:lang w:val="en-US" w:eastAsia="zh-CN"/>
              </w:rPr>
              <w:t>4</w:t>
            </w:r>
          </w:p>
        </w:tc>
        <w:tc>
          <w:tcPr>
            <w:tcW w:w="1573" w:type="dxa"/>
            <w:vAlign w:val="center"/>
          </w:tcPr>
          <w:p w14:paraId="611096F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b w:val="0"/>
                <w:bCs/>
                <w:sz w:val="20"/>
                <w:szCs w:val="20"/>
                <w:lang w:val="en-US"/>
              </w:rPr>
            </w:pPr>
            <w:r>
              <w:rPr>
                <w:rFonts w:hint="eastAsia" w:ascii="楷体" w:hAnsi="楷体" w:eastAsia="楷体" w:cs="楷体"/>
                <w:b w:val="0"/>
                <w:bCs/>
                <w:color w:val="auto"/>
                <w:sz w:val="20"/>
                <w:szCs w:val="20"/>
                <w:highlight w:val="none"/>
                <w:lang w:val="en-US" w:eastAsia="zh-CN"/>
              </w:rPr>
              <w:t>口腔正畸设计生产岗位</w:t>
            </w:r>
          </w:p>
        </w:tc>
        <w:tc>
          <w:tcPr>
            <w:tcW w:w="2409" w:type="dxa"/>
            <w:vAlign w:val="center"/>
          </w:tcPr>
          <w:p w14:paraId="212686AA">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sz w:val="20"/>
                <w:szCs w:val="20"/>
              </w:rPr>
            </w:pPr>
            <w:r>
              <w:rPr>
                <w:rFonts w:hint="eastAsia" w:ascii="楷体" w:hAnsi="楷体" w:eastAsia="楷体" w:cs="楷体"/>
                <w:b w:val="0"/>
                <w:bCs/>
                <w:color w:val="auto"/>
                <w:sz w:val="20"/>
                <w:szCs w:val="20"/>
                <w:highlight w:val="none"/>
                <w:lang w:val="en-US" w:eastAsia="zh-CN"/>
              </w:rPr>
              <w:t>在义齿科技公司</w:t>
            </w:r>
            <w:r>
              <w:rPr>
                <w:rFonts w:hint="eastAsia" w:ascii="楷体" w:hAnsi="楷体" w:eastAsia="楷体" w:cs="楷体"/>
                <w:b w:val="0"/>
                <w:bCs/>
                <w:color w:val="auto"/>
                <w:sz w:val="20"/>
                <w:szCs w:val="20"/>
                <w:highlight w:val="none"/>
              </w:rPr>
              <w:t>进行牙齿三维模拟矫治设计</w:t>
            </w:r>
            <w:r>
              <w:rPr>
                <w:rFonts w:hint="eastAsia" w:ascii="楷体" w:hAnsi="楷体" w:eastAsia="楷体" w:cs="楷体"/>
                <w:b w:val="0"/>
                <w:bCs/>
                <w:color w:val="auto"/>
                <w:sz w:val="20"/>
                <w:szCs w:val="20"/>
                <w:highlight w:val="none"/>
                <w:lang w:eastAsia="zh-CN"/>
              </w:rPr>
              <w:t>，</w:t>
            </w:r>
            <w:r>
              <w:rPr>
                <w:rFonts w:hint="eastAsia" w:ascii="楷体" w:hAnsi="楷体" w:eastAsia="楷体" w:cs="楷体"/>
                <w:b w:val="0"/>
                <w:bCs/>
                <w:color w:val="auto"/>
                <w:sz w:val="20"/>
                <w:szCs w:val="20"/>
                <w:highlight w:val="none"/>
                <w:lang w:val="en-US" w:eastAsia="zh-CN"/>
              </w:rPr>
              <w:t>如排牙等工作</w:t>
            </w:r>
          </w:p>
        </w:tc>
        <w:tc>
          <w:tcPr>
            <w:tcW w:w="2549" w:type="dxa"/>
            <w:vAlign w:val="center"/>
          </w:tcPr>
          <w:p w14:paraId="0BB73764">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highlight w:val="none"/>
                <w:lang w:val="en-US" w:eastAsia="zh-CN"/>
              </w:rPr>
            </w:pPr>
            <w:r>
              <w:rPr>
                <w:rFonts w:hint="eastAsia" w:ascii="楷体" w:hAnsi="楷体" w:eastAsia="楷体" w:cs="楷体"/>
                <w:b w:val="0"/>
                <w:bCs/>
                <w:color w:val="auto"/>
                <w:sz w:val="20"/>
                <w:szCs w:val="20"/>
                <w:highlight w:val="none"/>
                <w:lang w:val="en-US" w:eastAsia="zh-CN"/>
              </w:rPr>
              <w:t>1.</w:t>
            </w:r>
            <w:r>
              <w:rPr>
                <w:rFonts w:hint="eastAsia" w:ascii="楷体" w:hAnsi="楷体" w:eastAsia="楷体" w:cs="楷体"/>
                <w:b w:val="0"/>
                <w:bCs/>
                <w:color w:val="auto"/>
                <w:sz w:val="20"/>
                <w:szCs w:val="20"/>
                <w:highlight w:val="none"/>
              </w:rPr>
              <w:t>口腔隐形矫正动画设计师需要具备扎实的口腔正畸学基础，熟悉牙齿移动生物力学原理和隐形矫治技术</w:t>
            </w:r>
          </w:p>
          <w:p w14:paraId="6D0927FE">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highlight w:val="none"/>
              </w:rPr>
            </w:pPr>
            <w:r>
              <w:rPr>
                <w:rFonts w:hint="eastAsia" w:ascii="楷体" w:hAnsi="楷体" w:eastAsia="楷体" w:cs="楷体"/>
                <w:b w:val="0"/>
                <w:bCs/>
                <w:color w:val="auto"/>
                <w:sz w:val="20"/>
                <w:szCs w:val="20"/>
                <w:highlight w:val="none"/>
                <w:lang w:val="en-US" w:eastAsia="zh-CN"/>
              </w:rPr>
              <w:t>2.</w:t>
            </w:r>
            <w:r>
              <w:rPr>
                <w:rFonts w:hint="eastAsia" w:ascii="楷体" w:hAnsi="楷体" w:eastAsia="楷体" w:cs="楷体"/>
                <w:b w:val="0"/>
                <w:bCs/>
                <w:color w:val="auto"/>
                <w:sz w:val="20"/>
                <w:szCs w:val="20"/>
                <w:highlight w:val="none"/>
              </w:rPr>
              <w:t>能熟练处理口腔扫描数据并制作牙齿移动模拟动画</w:t>
            </w:r>
          </w:p>
          <w:p w14:paraId="51B7BABC">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highlight w:val="none"/>
              </w:rPr>
            </w:pPr>
            <w:r>
              <w:rPr>
                <w:rFonts w:hint="eastAsia" w:ascii="楷体" w:hAnsi="楷体" w:eastAsia="楷体" w:cs="楷体"/>
                <w:b w:val="0"/>
                <w:bCs/>
                <w:color w:val="auto"/>
                <w:sz w:val="20"/>
                <w:szCs w:val="20"/>
                <w:highlight w:val="none"/>
                <w:lang w:val="en-US" w:eastAsia="zh-CN"/>
              </w:rPr>
              <w:t>3.具有</w:t>
            </w:r>
            <w:r>
              <w:rPr>
                <w:rFonts w:hint="eastAsia" w:ascii="楷体" w:hAnsi="楷体" w:eastAsia="楷体" w:cs="楷体"/>
                <w:b w:val="0"/>
                <w:bCs/>
                <w:color w:val="auto"/>
                <w:sz w:val="20"/>
                <w:szCs w:val="20"/>
                <w:highlight w:val="none"/>
              </w:rPr>
              <w:t>良好的医患沟通能力，理解临床需求并将复杂方案转化为直观的动画演示</w:t>
            </w:r>
          </w:p>
          <w:p w14:paraId="67076B9A">
            <w:pPr>
              <w:keepNext w:val="0"/>
              <w:keepLines w:val="0"/>
              <w:pageBreakBefore w:val="0"/>
              <w:widowControl/>
              <w:kinsoku/>
              <w:wordWrap/>
              <w:overflowPunct/>
              <w:topLinePunct w:val="0"/>
              <w:autoSpaceDE w:val="0"/>
              <w:autoSpaceDN w:val="0"/>
              <w:bidi w:val="0"/>
              <w:adjustRightInd w:val="0"/>
              <w:snapToGrid w:val="0"/>
              <w:textAlignment w:val="baseline"/>
              <w:rPr>
                <w:b w:val="0"/>
                <w:bCs/>
                <w:sz w:val="20"/>
                <w:szCs w:val="20"/>
              </w:rPr>
            </w:pPr>
            <w:r>
              <w:rPr>
                <w:rFonts w:hint="eastAsia" w:ascii="楷体" w:hAnsi="楷体" w:eastAsia="楷体" w:cs="楷体"/>
                <w:b w:val="0"/>
                <w:bCs/>
                <w:color w:val="auto"/>
                <w:sz w:val="20"/>
                <w:szCs w:val="20"/>
                <w:highlight w:val="none"/>
                <w:lang w:val="en-US" w:eastAsia="zh-CN"/>
              </w:rPr>
              <w:t>4.</w:t>
            </w:r>
            <w:r>
              <w:rPr>
                <w:rFonts w:hint="eastAsia" w:ascii="楷体" w:hAnsi="楷体" w:eastAsia="楷体" w:cs="楷体"/>
                <w:b w:val="0"/>
                <w:bCs/>
                <w:color w:val="auto"/>
                <w:sz w:val="20"/>
                <w:szCs w:val="20"/>
                <w:highlight w:val="none"/>
              </w:rPr>
              <w:t>掌握CAD/CAM设计软件者更具竞争力。</w:t>
            </w:r>
          </w:p>
        </w:tc>
        <w:tc>
          <w:tcPr>
            <w:tcW w:w="1690" w:type="dxa"/>
            <w:vAlign w:val="center"/>
          </w:tcPr>
          <w:p w14:paraId="4845DD43">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sz w:val="20"/>
                <w:szCs w:val="20"/>
                <w:lang w:eastAsia="zh-CN"/>
              </w:rPr>
            </w:pPr>
            <w:r>
              <w:rPr>
                <w:rFonts w:hint="eastAsia" w:ascii="楷体" w:hAnsi="楷体" w:eastAsia="楷体" w:cs="楷体"/>
                <w:b w:val="0"/>
                <w:bCs/>
                <w:color w:val="auto"/>
                <w:sz w:val="20"/>
                <w:szCs w:val="20"/>
              </w:rPr>
              <w:t>口腔</w:t>
            </w:r>
            <w:r>
              <w:rPr>
                <w:rFonts w:hint="eastAsia" w:ascii="楷体" w:hAnsi="楷体" w:eastAsia="楷体" w:cs="楷体"/>
                <w:b w:val="0"/>
                <w:bCs/>
                <w:color w:val="auto"/>
                <w:sz w:val="20"/>
                <w:szCs w:val="20"/>
                <w:lang w:val="en-US" w:eastAsia="zh-CN"/>
              </w:rPr>
              <w:t>医学技术（士）</w:t>
            </w:r>
            <w:r>
              <w:rPr>
                <w:rFonts w:hint="eastAsia" w:ascii="楷体" w:hAnsi="楷体" w:eastAsia="楷体" w:cs="楷体"/>
                <w:b w:val="0"/>
                <w:bCs/>
                <w:color w:val="auto"/>
                <w:sz w:val="20"/>
                <w:szCs w:val="20"/>
                <w:lang w:eastAsia="zh-CN"/>
              </w:rPr>
              <w:t>、</w:t>
            </w:r>
          </w:p>
          <w:p w14:paraId="4FA3CAC8">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sz w:val="20"/>
                <w:szCs w:val="20"/>
              </w:rPr>
            </w:pPr>
            <w:r>
              <w:rPr>
                <w:rFonts w:hint="eastAsia" w:ascii="楷体" w:hAnsi="楷体" w:eastAsia="楷体" w:cs="楷体"/>
                <w:b w:val="0"/>
                <w:bCs/>
                <w:color w:val="auto"/>
                <w:sz w:val="20"/>
                <w:szCs w:val="20"/>
              </w:rPr>
              <w:t>口腔修复</w:t>
            </w:r>
            <w:r>
              <w:rPr>
                <w:rFonts w:hint="eastAsia" w:ascii="楷体" w:hAnsi="楷体" w:eastAsia="楷体" w:cs="楷体"/>
                <w:b w:val="0"/>
                <w:bCs/>
                <w:color w:val="auto"/>
                <w:sz w:val="20"/>
                <w:szCs w:val="20"/>
                <w:lang w:val="en-US" w:eastAsia="zh-CN"/>
              </w:rPr>
              <w:t>体制作师</w:t>
            </w:r>
          </w:p>
        </w:tc>
      </w:tr>
    </w:tbl>
    <w:p w14:paraId="0937CB4C">
      <w:pPr>
        <w:rPr>
          <w:rFonts w:ascii="Arial"/>
          <w:b w:val="0"/>
          <w:bCs/>
          <w:sz w:val="21"/>
        </w:rPr>
      </w:pPr>
    </w:p>
    <w:p w14:paraId="085806FF">
      <w:pPr>
        <w:rPr>
          <w:rFonts w:ascii="Arial" w:hAnsi="Arial" w:eastAsia="Arial" w:cs="Arial"/>
          <w:sz w:val="21"/>
          <w:szCs w:val="21"/>
        </w:rPr>
        <w:sectPr>
          <w:footerReference r:id="rId7" w:type="default"/>
          <w:pgSz w:w="11906" w:h="16839"/>
          <w:pgMar w:top="400" w:right="1483" w:bottom="1127" w:left="1482" w:header="0" w:footer="848" w:gutter="0"/>
          <w:pgBorders>
            <w:top w:val="none" w:sz="0" w:space="0"/>
            <w:left w:val="none" w:sz="0" w:space="0"/>
            <w:bottom w:val="none" w:sz="0" w:space="0"/>
            <w:right w:val="none" w:sz="0" w:space="0"/>
          </w:pgBorders>
          <w:pgNumType w:fmt="decimal" w:start="1"/>
          <w:cols w:space="720" w:num="1"/>
        </w:sectPr>
      </w:pPr>
    </w:p>
    <w:p w14:paraId="28F17284">
      <w:pPr>
        <w:pageBreakBefore w:val="0"/>
        <w:widowControl/>
        <w:kinsoku w:val="0"/>
        <w:wordWrap/>
        <w:overflowPunct/>
        <w:topLinePunct w:val="0"/>
        <w:autoSpaceDE w:val="0"/>
        <w:autoSpaceDN w:val="0"/>
        <w:bidi w:val="0"/>
        <w:adjustRightInd w:val="0"/>
        <w:snapToGrid w:val="0"/>
        <w:spacing w:line="240" w:lineRule="auto"/>
        <w:textAlignment w:val="baseline"/>
        <w:rPr>
          <w:rFonts w:ascii="Arial"/>
          <w:sz w:val="21"/>
        </w:rPr>
      </w:pPr>
    </w:p>
    <w:p w14:paraId="1004D80D">
      <w:pPr>
        <w:pStyle w:val="2"/>
        <w:pageBreakBefore w:val="0"/>
        <w:widowControl/>
        <w:kinsoku w:val="0"/>
        <w:wordWrap/>
        <w:overflowPunct/>
        <w:topLinePunct w:val="0"/>
        <w:autoSpaceDE w:val="0"/>
        <w:autoSpaceDN w:val="0"/>
        <w:bidi w:val="0"/>
        <w:adjustRightInd w:val="0"/>
        <w:snapToGrid w:val="0"/>
        <w:spacing w:line="240" w:lineRule="auto"/>
        <w:textAlignment w:val="baseline"/>
      </w:pPr>
      <w:bookmarkStart w:id="11" w:name="_Toc26022"/>
      <w:bookmarkStart w:id="12" w:name="_Toc20525"/>
      <w:r>
        <w:t>五、培养目标及培养规格</w:t>
      </w:r>
      <w:bookmarkEnd w:id="11"/>
      <w:bookmarkEnd w:id="12"/>
    </w:p>
    <w:p w14:paraId="7F799440">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13" w:name="_Toc21866"/>
      <w:bookmarkStart w:id="14" w:name="_Toc24171"/>
      <w:r>
        <w:t>（一）培养目标</w:t>
      </w:r>
      <w:bookmarkEnd w:id="13"/>
      <w:bookmarkEnd w:id="14"/>
    </w:p>
    <w:p w14:paraId="2D29409B">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职业综合素质和行动能力，面向卫生行业康复矫正服务人员中的口腔修复体制作师和医疗卫生技术人员中的口腔医学技师等职业，能够从事口腔修复体及口腔治疗装置的设计与制作，参加口腔及颌面部常见病诊疗，进行口腔预防保健的科普教育等工作的高技能人才。</w:t>
      </w:r>
    </w:p>
    <w:p w14:paraId="40F18095">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b w:val="0"/>
          <w:bCs/>
          <w:color w:val="000000" w:themeColor="text1"/>
          <w:spacing w:val="9"/>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除以上培养目标外，三段进阶式人才培养者还需立足口腔医疗行业发展需求，依托产教融合协同育人校企合作订单培养模式：前1.5年在校期间，学生通过系统学习口腔基础医学概要、口腔修复工艺材料学等专业理论课程，夯实理论基础；中间0.5年进入义齿加工企业进行见习，在企业导师指导下初步接触真实工作场景，熟悉行业规范与岗位流程，增强职业认知；最后1年开展深度企业实习，全程参与口腔修复体制作、数字化口腔技术应用等实际工作项目，在实践中深化技能应用，提升问题解决能力与团队协作能力。通过这一模式，最终培养出具备扎实专业知识、熟练操作技能和良好职业素养，能在义齿加工等领域胜任生产、设计、管理等工作和现代CAD/CAM应用能力，且具有可持续发展能力的应用型复合型人才。</w:t>
      </w:r>
    </w:p>
    <w:p w14:paraId="527591C9">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15" w:name="_Toc16190"/>
      <w:bookmarkStart w:id="16" w:name="_Toc20186"/>
      <w:r>
        <w:t>（二）培养规格</w:t>
      </w:r>
      <w:bookmarkEnd w:id="15"/>
      <w:bookmarkEnd w:id="16"/>
    </w:p>
    <w:p w14:paraId="67F20192">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本专业学生应在系统学习本专业知识并完成有关实习实训基础上，全面提升知识、能力、素质，掌握并实际运用岗位（群）需要的专业核心技术技能，实现德智体美劳全面发展，总体上须达到以下要求：</w:t>
      </w:r>
    </w:p>
    <w:p w14:paraId="62C02CA4">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（1）坚定拥护中国共产党领导和中国特色社会主义制度，以习近平新时代中国特色社会主义思想为指导，践行社会主义核心价值观，具有坚定的理想信念、深厚的爱国情感和中华民族自豪感；</w:t>
      </w:r>
    </w:p>
    <w:p w14:paraId="338C5B33">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（2）掌握与本专业对应职业活动相关的国家法律、行业规定，掌握环境保护、安全防护、质量管理等相关知识与技能，了解相关行业文化，具有爱岗敬业的职业精神，遵守职业道德 准则和行为规范，具备社会责任感和担当精神；</w:t>
      </w:r>
    </w:p>
    <w:p w14:paraId="761D9988">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w:t>
      </w:r>
      <w:r>
        <w:rPr>
          <w:rFonts w:hint="default" w:ascii="仿宋_GB2312" w:eastAsia="仿宋_GB2312"/>
          <w:b w:val="0"/>
          <w:bCs/>
          <w:color w:val="000000" w:themeColor="text1"/>
          <w:sz w:val="28"/>
          <w:szCs w:val="28"/>
          <w:lang w:val="en-US" w:eastAsia="zh-CN"/>
          <w14:textFill>
            <w14:solidFill>
              <w14:schemeClr w14:val="tx1"/>
            </w14:solidFill>
          </w14:textFill>
        </w:rPr>
        <w:t>3</w:t>
      </w:r>
      <w:r>
        <w:rPr>
          <w:rFonts w:hint="eastAsia" w:ascii="仿宋_GB2312" w:eastAsia="仿宋_GB2312"/>
          <w:b w:val="0"/>
          <w:bCs/>
          <w:color w:val="000000" w:themeColor="text1"/>
          <w:sz w:val="28"/>
          <w:szCs w:val="28"/>
          <w:lang w:val="en-US" w:eastAsia="zh-CN"/>
          <w14:textFill>
            <w14:solidFill>
              <w14:schemeClr w14:val="tx1"/>
            </w14:solidFill>
          </w14:textFill>
        </w:rPr>
        <w:t>）掌握支撑本专业学习和可持续发展必备的语文、数学、外语（英语等）、信息技术等 文化基础知识，具有良好的人文素养与科学素养，具备职业生涯规划能力；</w:t>
      </w:r>
    </w:p>
    <w:p w14:paraId="4E727C36">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w:t>
      </w:r>
      <w:r>
        <w:rPr>
          <w:rFonts w:hint="default" w:ascii="仿宋_GB2312" w:eastAsia="仿宋_GB2312"/>
          <w:b w:val="0"/>
          <w:bCs/>
          <w:color w:val="000000" w:themeColor="text1"/>
          <w:sz w:val="28"/>
          <w:szCs w:val="28"/>
          <w:lang w:val="en-US" w:eastAsia="zh-CN"/>
          <w14:textFill>
            <w14:solidFill>
              <w14:schemeClr w14:val="tx1"/>
            </w14:solidFill>
          </w14:textFill>
        </w:rPr>
        <w:t>4</w:t>
      </w:r>
      <w:r>
        <w:rPr>
          <w:rFonts w:hint="eastAsia" w:ascii="仿宋_GB2312" w:eastAsia="仿宋_GB2312"/>
          <w:b w:val="0"/>
          <w:bCs/>
          <w:color w:val="000000" w:themeColor="text1"/>
          <w:sz w:val="28"/>
          <w:szCs w:val="28"/>
          <w:lang w:val="en-US" w:eastAsia="zh-CN"/>
          <w14:textFill>
            <w14:solidFill>
              <w14:schemeClr w14:val="tx1"/>
            </w14:solidFill>
          </w14:textFill>
        </w:rPr>
        <w:t xml:space="preserve">）具有良好的语言表达能力、文字表达能力、沟通合作能力，具有较强的集体意识和团队合作意识，学习 </w:t>
      </w:r>
      <w:r>
        <w:rPr>
          <w:rFonts w:hint="default" w:ascii="仿宋_GB2312" w:eastAsia="仿宋_GB2312"/>
          <w:b w:val="0"/>
          <w:bCs/>
          <w:color w:val="000000" w:themeColor="text1"/>
          <w:sz w:val="28"/>
          <w:szCs w:val="28"/>
          <w:lang w:val="en-US" w:eastAsia="zh-CN"/>
          <w14:textFill>
            <w14:solidFill>
              <w14:schemeClr w14:val="tx1"/>
            </w14:solidFill>
          </w14:textFill>
        </w:rPr>
        <w:t xml:space="preserve">1 </w:t>
      </w:r>
      <w:r>
        <w:rPr>
          <w:rFonts w:hint="eastAsia" w:ascii="仿宋_GB2312" w:eastAsia="仿宋_GB2312"/>
          <w:b w:val="0"/>
          <w:bCs/>
          <w:color w:val="000000" w:themeColor="text1"/>
          <w:sz w:val="28"/>
          <w:szCs w:val="28"/>
          <w:lang w:val="en-US" w:eastAsia="zh-CN"/>
          <w14:textFill>
            <w14:solidFill>
              <w14:schemeClr w14:val="tx1"/>
            </w14:solidFill>
          </w14:textFill>
        </w:rPr>
        <w:t>门外语并结合本专业加以运用；</w:t>
      </w:r>
    </w:p>
    <w:p w14:paraId="227F3E2C">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w:t>
      </w:r>
      <w:r>
        <w:rPr>
          <w:rFonts w:hint="default" w:ascii="仿宋_GB2312" w:eastAsia="仿宋_GB2312"/>
          <w:b w:val="0"/>
          <w:bCs/>
          <w:color w:val="000000" w:themeColor="text1"/>
          <w:sz w:val="28"/>
          <w:szCs w:val="28"/>
          <w:lang w:val="en-US" w:eastAsia="zh-CN"/>
          <w14:textFill>
            <w14:solidFill>
              <w14:schemeClr w14:val="tx1"/>
            </w14:solidFill>
          </w14:textFill>
        </w:rPr>
        <w:t>5</w:t>
      </w:r>
      <w:r>
        <w:rPr>
          <w:rFonts w:hint="eastAsia" w:ascii="仿宋_GB2312" w:eastAsia="仿宋_GB2312"/>
          <w:b w:val="0"/>
          <w:bCs/>
          <w:color w:val="000000" w:themeColor="text1"/>
          <w:sz w:val="28"/>
          <w:szCs w:val="28"/>
          <w:lang w:val="en-US" w:eastAsia="zh-CN"/>
          <w14:textFill>
            <w14:solidFill>
              <w14:schemeClr w14:val="tx1"/>
            </w14:solidFill>
          </w14:textFill>
        </w:rPr>
        <w:t>）掌握口腔医学技术专业基本理论和基本知识，以及必备的义齿制作所需要的口腔材料学、美学、色彩学、雕刻艺术等知识；</w:t>
      </w:r>
    </w:p>
    <w:p w14:paraId="375AC1B6">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（6）掌握牙体、牙列缺损及缺失修复和正畸的基本理论及口腔各类修复体、矫治器的制作理论；</w:t>
      </w:r>
    </w:p>
    <w:p w14:paraId="24DE6EF6">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（7）熟悉义齿制作的传统工艺与现代工艺知识，进行常用义齿的制作；</w:t>
      </w:r>
    </w:p>
    <w:p w14:paraId="27F01530">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（8）具有熟练运用数字化口腔修复的相关理论知识和技能操作，了解义齿加工制作行业的新知识、新技术的能力；</w:t>
      </w:r>
    </w:p>
    <w:p w14:paraId="2577B2A4">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default"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（9）具有利用各种信息资源和信息技术进行自主学习的能力及沟通协作及初步的技术管理和经济运作能力；</w:t>
      </w:r>
    </w:p>
    <w:p w14:paraId="3A772471">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 xml:space="preserve">（10）具备持续学习能力和创新思维，紧跟口腔医学技术数字化、智能化发展趋势，不断提升自身专业技能与综合竞争力，从而成长为理论扎实、技能精湛、素养优良、适应行业发展需求的应用型技术技能人才。 </w:t>
      </w:r>
    </w:p>
    <w:p w14:paraId="6A68EC3A">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 xml:space="preserve">（11）掌握信息技术基础知识，具有适应本领域数字化和智能化发展需求的数字技能； </w:t>
      </w:r>
    </w:p>
    <w:p w14:paraId="3079B546">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w:t>
      </w:r>
      <w:r>
        <w:rPr>
          <w:rFonts w:hint="default" w:ascii="仿宋_GB2312" w:eastAsia="仿宋_GB2312"/>
          <w:b w:val="0"/>
          <w:bCs/>
          <w:color w:val="000000" w:themeColor="text1"/>
          <w:sz w:val="28"/>
          <w:szCs w:val="28"/>
          <w:lang w:val="en-US" w:eastAsia="zh-CN"/>
          <w14:textFill>
            <w14:solidFill>
              <w14:schemeClr w14:val="tx1"/>
            </w14:solidFill>
          </w14:textFill>
        </w:rPr>
        <w:t>1</w:t>
      </w:r>
      <w:r>
        <w:rPr>
          <w:rFonts w:hint="eastAsia" w:ascii="仿宋_GB2312" w:eastAsia="仿宋_GB2312"/>
          <w:b w:val="0"/>
          <w:bCs/>
          <w:color w:val="000000" w:themeColor="text1"/>
          <w:sz w:val="28"/>
          <w:szCs w:val="28"/>
          <w:lang w:val="en-US" w:eastAsia="zh-CN"/>
          <w14:textFill>
            <w14:solidFill>
              <w14:schemeClr w14:val="tx1"/>
            </w14:solidFill>
          </w14:textFill>
        </w:rPr>
        <w:t xml:space="preserve">2）具有探究学习、终身学习和可持续发展的能力，具有整合知识和综合运用知识分析问题和解决问题的能力； </w:t>
      </w:r>
    </w:p>
    <w:p w14:paraId="023CAF7C">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w:t>
      </w:r>
      <w:r>
        <w:rPr>
          <w:rFonts w:hint="default" w:ascii="仿宋_GB2312" w:eastAsia="仿宋_GB2312"/>
          <w:b w:val="0"/>
          <w:bCs/>
          <w:color w:val="000000" w:themeColor="text1"/>
          <w:sz w:val="28"/>
          <w:szCs w:val="28"/>
          <w:lang w:val="en-US" w:eastAsia="zh-CN"/>
          <w14:textFill>
            <w14:solidFill>
              <w14:schemeClr w14:val="tx1"/>
            </w14:solidFill>
          </w14:textFill>
        </w:rPr>
        <w:t>1</w:t>
      </w:r>
      <w:r>
        <w:rPr>
          <w:rFonts w:hint="eastAsia" w:ascii="仿宋_GB2312" w:eastAsia="仿宋_GB2312"/>
          <w:b w:val="0"/>
          <w:bCs/>
          <w:color w:val="000000" w:themeColor="text1"/>
          <w:sz w:val="28"/>
          <w:szCs w:val="28"/>
          <w:lang w:val="en-US" w:eastAsia="zh-CN"/>
          <w14:textFill>
            <w14:solidFill>
              <w14:schemeClr w14:val="tx1"/>
            </w14:solidFill>
          </w14:textFill>
        </w:rPr>
        <w:t xml:space="preserve">3）掌握身体运动的基本知识和至少 </w:t>
      </w:r>
      <w:r>
        <w:rPr>
          <w:rFonts w:hint="default" w:ascii="仿宋_GB2312" w:eastAsia="仿宋_GB2312"/>
          <w:b w:val="0"/>
          <w:bCs/>
          <w:color w:val="000000" w:themeColor="text1"/>
          <w:sz w:val="28"/>
          <w:szCs w:val="28"/>
          <w:lang w:val="en-US" w:eastAsia="zh-CN"/>
          <w14:textFill>
            <w14:solidFill>
              <w14:schemeClr w14:val="tx1"/>
            </w14:solidFill>
          </w14:textFill>
        </w:rPr>
        <w:t xml:space="preserve">1 </w:t>
      </w:r>
      <w:r>
        <w:rPr>
          <w:rFonts w:hint="eastAsia" w:ascii="仿宋_GB2312" w:eastAsia="仿宋_GB2312"/>
          <w:b w:val="0"/>
          <w:bCs/>
          <w:color w:val="000000" w:themeColor="text1"/>
          <w:sz w:val="28"/>
          <w:szCs w:val="28"/>
          <w:lang w:val="en-US" w:eastAsia="zh-CN"/>
          <w14:textFill>
            <w14:solidFill>
              <w14:schemeClr w14:val="tx1"/>
            </w14:solidFill>
          </w14:textFill>
        </w:rPr>
        <w:t xml:space="preserve">项体育运动技能，达到国家大学生体质健康测试合格标准，养成良好的运动习惯、卫生习惯和行为习惯；具备一定的心理调适能力； </w:t>
      </w:r>
    </w:p>
    <w:p w14:paraId="0A7CA70F">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default"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w:t>
      </w:r>
      <w:r>
        <w:rPr>
          <w:rFonts w:hint="default" w:ascii="仿宋_GB2312" w:eastAsia="仿宋_GB2312"/>
          <w:b w:val="0"/>
          <w:bCs/>
          <w:color w:val="000000" w:themeColor="text1"/>
          <w:sz w:val="28"/>
          <w:szCs w:val="28"/>
          <w:lang w:val="en-US" w:eastAsia="zh-CN"/>
          <w14:textFill>
            <w14:solidFill>
              <w14:schemeClr w14:val="tx1"/>
            </w14:solidFill>
          </w14:textFill>
        </w:rPr>
        <w:t>1</w:t>
      </w:r>
      <w:r>
        <w:rPr>
          <w:rFonts w:hint="eastAsia" w:ascii="仿宋_GB2312" w:eastAsia="仿宋_GB2312"/>
          <w:b w:val="0"/>
          <w:bCs/>
          <w:color w:val="000000" w:themeColor="text1"/>
          <w:sz w:val="28"/>
          <w:szCs w:val="28"/>
          <w:lang w:val="en-US" w:eastAsia="zh-CN"/>
          <w14:textFill>
            <w14:solidFill>
              <w14:schemeClr w14:val="tx1"/>
            </w14:solidFill>
          </w14:textFill>
        </w:rPr>
        <w:t xml:space="preserve">4）掌握必备的美育知识，具有一定的文化修养、审美能力，形成至少 </w:t>
      </w:r>
      <w:r>
        <w:rPr>
          <w:rFonts w:hint="default" w:ascii="仿宋_GB2312" w:eastAsia="仿宋_GB2312"/>
          <w:b w:val="0"/>
          <w:bCs/>
          <w:color w:val="000000" w:themeColor="text1"/>
          <w:sz w:val="28"/>
          <w:szCs w:val="28"/>
          <w:lang w:val="en-US" w:eastAsia="zh-CN"/>
          <w14:textFill>
            <w14:solidFill>
              <w14:schemeClr w14:val="tx1"/>
            </w14:solidFill>
          </w14:textFill>
        </w:rPr>
        <w:t xml:space="preserve">1 </w:t>
      </w:r>
      <w:r>
        <w:rPr>
          <w:rFonts w:hint="eastAsia" w:ascii="仿宋_GB2312" w:eastAsia="仿宋_GB2312"/>
          <w:b w:val="0"/>
          <w:bCs/>
          <w:color w:val="000000" w:themeColor="text1"/>
          <w:sz w:val="28"/>
          <w:szCs w:val="28"/>
          <w:lang w:val="en-US" w:eastAsia="zh-CN"/>
          <w14:textFill>
            <w14:solidFill>
              <w14:schemeClr w14:val="tx1"/>
            </w14:solidFill>
          </w14:textFill>
        </w:rPr>
        <w:t xml:space="preserve">项艺术特长或爱好； </w:t>
      </w:r>
    </w:p>
    <w:p w14:paraId="5FEFFD1B">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w:t>
      </w:r>
      <w:r>
        <w:rPr>
          <w:rFonts w:hint="default" w:ascii="仿宋_GB2312" w:eastAsia="仿宋_GB2312"/>
          <w:b w:val="0"/>
          <w:bCs/>
          <w:color w:val="000000" w:themeColor="text1"/>
          <w:sz w:val="28"/>
          <w:szCs w:val="28"/>
          <w:lang w:val="en-US" w:eastAsia="zh-CN"/>
          <w14:textFill>
            <w14:solidFill>
              <w14:schemeClr w14:val="tx1"/>
            </w14:solidFill>
          </w14:textFill>
        </w:rPr>
        <w:t>1</w:t>
      </w:r>
      <w:r>
        <w:rPr>
          <w:rFonts w:hint="eastAsia" w:ascii="仿宋_GB2312" w:eastAsia="仿宋_GB2312"/>
          <w:b w:val="0"/>
          <w:bCs/>
          <w:color w:val="000000" w:themeColor="text1"/>
          <w:sz w:val="28"/>
          <w:szCs w:val="28"/>
          <w:lang w:val="en-US" w:eastAsia="zh-CN"/>
          <w14:textFill>
            <w14:solidFill>
              <w14:schemeClr w14:val="tx1"/>
            </w14:solidFill>
          </w14:textFill>
        </w:rPr>
        <w:t>5）树立正确的劳动观，尊重劳动，热爱劳动，具备与本专业职业发展相适应的劳动素养，弘扬劳模精神、劳动精神、工匠精神，弘扬劳动光荣、技能宝贵、创造伟大的时代风尚。</w:t>
      </w:r>
    </w:p>
    <w:p w14:paraId="5224B974">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除以上培养规格外，三段进阶式人才培养者还需立足口腔医学技术行业岗位需求与企业新入职员工培训标准，深度落实产教融合协同育人理念，将企业核心能力要求、职业规范与岗位素养全面融入人才培养全过程，重点具备以下职业素养与岗位能力要点：</w:t>
      </w:r>
    </w:p>
    <w:p w14:paraId="3682C050">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（1）具备严谨规范的职业操作素养，严格遵守义齿制作、数字化口扫、口腔修复辅助等岗位操作规范、医疗卫生标准及行业规章制度，杜绝违规操作，保障口腔产品质量与诊疗辅助安全；</w:t>
      </w:r>
    </w:p>
    <w:p w14:paraId="32609B08">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（2）具备扎实的岗位适配实操能力，熟练掌握常规义齿加工、数字化口腔设备操作、模型制作与修整等核心岗位技能，适配口腔技工企业、口腔机构的基础岗位工作需求，快速对接企业岗前上岗要求；</w:t>
      </w:r>
    </w:p>
    <w:p w14:paraId="3E271160">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（3）具备良好的质量把控与精益求精的工匠精神，熟悉口腔修复产品质检标准，能够精准排查实操过程中的常见问题，注重产品细节与成品精度，契合口腔技术行业精细化发展要求；</w:t>
      </w:r>
    </w:p>
    <w:p w14:paraId="789329B3">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eastAsia"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（4）具备规范的职业沟通与协作素养，能够配合口腔医师、车间技工完成协同工作，清晰地对接岗位工作需求，规范完成工作交接，适配企业团队化工作模式；</w:t>
      </w:r>
    </w:p>
    <w:p w14:paraId="48EA7FD2">
      <w:pPr>
        <w:pStyle w:val="4"/>
        <w:keepNext w:val="0"/>
        <w:keepLines w:val="0"/>
        <w:pageBreakBefore w:val="0"/>
        <w:widowControl/>
        <w:kinsoku/>
        <w:wordWrap/>
        <w:overflowPunct/>
        <w:topLinePunct w:val="0"/>
        <w:autoSpaceDE w:val="0"/>
        <w:autoSpaceDN w:val="0"/>
        <w:bidi w:val="0"/>
        <w:adjustRightInd w:val="0"/>
        <w:snapToGrid w:val="0"/>
        <w:spacing w:before="176" w:line="240" w:lineRule="auto"/>
        <w:ind w:left="130" w:right="23" w:firstLine="646"/>
        <w:jc w:val="both"/>
        <w:textAlignment w:val="baseline"/>
        <w:rPr>
          <w:rFonts w:hint="default" w:ascii="仿宋_GB2312" w:eastAsia="仿宋_GB2312"/>
          <w:b w:val="0"/>
          <w:bCs/>
          <w:color w:val="000000" w:themeColor="text1"/>
          <w:sz w:val="28"/>
          <w:szCs w:val="28"/>
          <w:lang w:val="en-US" w:eastAsia="zh-CN"/>
          <w14:textFill>
            <w14:solidFill>
              <w14:schemeClr w14:val="tx1"/>
            </w14:solidFill>
          </w14:textFill>
        </w:rPr>
      </w:pPr>
      <w:r>
        <w:rPr>
          <w:rFonts w:hint="eastAsia" w:ascii="仿宋_GB2312" w:eastAsia="仿宋_GB2312"/>
          <w:b w:val="0"/>
          <w:bCs/>
          <w:color w:val="000000" w:themeColor="text1"/>
          <w:sz w:val="28"/>
          <w:szCs w:val="28"/>
          <w:lang w:val="en-US" w:eastAsia="zh-CN"/>
          <w14:textFill>
            <w14:solidFill>
              <w14:schemeClr w14:val="tx1"/>
            </w14:solidFill>
          </w14:textFill>
        </w:rPr>
        <w:t>（5）具备终身学习与创新适配能力，主动跟进数字化口腔、智能义齿加工等行业新技术、新工艺，能够快速适配行业技术迭代与企业岗位升级需求；6、具备良好的职业品德与医疗服务素养，坚守诚信执业、医者仁心的职业准则，恪守客户隐私，树立合规、专业、负责的行业职业形象。</w:t>
      </w:r>
    </w:p>
    <w:p w14:paraId="7FA5490A">
      <w:pPr>
        <w:pStyle w:val="2"/>
        <w:keepNext/>
        <w:keepLines/>
        <w:pageBreakBefore w:val="0"/>
        <w:widowControl/>
        <w:kinsoku w:val="0"/>
        <w:wordWrap/>
        <w:overflowPunct/>
        <w:topLinePunct w:val="0"/>
        <w:autoSpaceDE w:val="0"/>
        <w:autoSpaceDN w:val="0"/>
        <w:bidi w:val="0"/>
        <w:adjustRightInd w:val="0"/>
        <w:snapToGrid w:val="0"/>
        <w:spacing w:line="240" w:lineRule="auto"/>
        <w:textAlignment w:val="baseline"/>
      </w:pPr>
      <w:bookmarkStart w:id="17" w:name="_Toc781"/>
      <w:bookmarkStart w:id="18" w:name="_Toc26118"/>
      <w:r>
        <w:t>六、课程设置及要求</w:t>
      </w:r>
      <w:bookmarkEnd w:id="17"/>
      <w:bookmarkEnd w:id="18"/>
    </w:p>
    <w:p w14:paraId="4D8231C7">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19" w:name="_Toc10746"/>
      <w:bookmarkStart w:id="20" w:name="_Toc15611"/>
      <w:r>
        <w:t>（一）公共基础课程</w:t>
      </w:r>
      <w:bookmarkEnd w:id="19"/>
      <w:bookmarkEnd w:id="20"/>
    </w:p>
    <w:p w14:paraId="00A54221">
      <w:pPr>
        <w:spacing w:line="44" w:lineRule="auto"/>
        <w:rPr>
          <w:rFonts w:ascii="Arial"/>
          <w:sz w:val="2"/>
        </w:rPr>
      </w:pPr>
    </w:p>
    <w:tbl>
      <w:tblPr>
        <w:tblStyle w:val="13"/>
        <w:tblW w:w="94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1065"/>
        <w:gridCol w:w="1875"/>
        <w:gridCol w:w="2595"/>
        <w:gridCol w:w="3283"/>
      </w:tblGrid>
      <w:tr w14:paraId="00459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622" w:type="dxa"/>
            <w:vAlign w:val="center"/>
          </w:tcPr>
          <w:p w14:paraId="7AE2369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序号</w:t>
            </w:r>
          </w:p>
        </w:tc>
        <w:tc>
          <w:tcPr>
            <w:tcW w:w="1065" w:type="dxa"/>
            <w:vAlign w:val="center"/>
          </w:tcPr>
          <w:p w14:paraId="264A76C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课程名称</w:t>
            </w:r>
          </w:p>
        </w:tc>
        <w:tc>
          <w:tcPr>
            <w:tcW w:w="1875" w:type="dxa"/>
            <w:vAlign w:val="center"/>
          </w:tcPr>
          <w:p w14:paraId="299A131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课程目标</w:t>
            </w:r>
          </w:p>
        </w:tc>
        <w:tc>
          <w:tcPr>
            <w:tcW w:w="2595" w:type="dxa"/>
            <w:vAlign w:val="center"/>
          </w:tcPr>
          <w:p w14:paraId="70D96B1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教学内容</w:t>
            </w:r>
          </w:p>
        </w:tc>
        <w:tc>
          <w:tcPr>
            <w:tcW w:w="3283" w:type="dxa"/>
            <w:vAlign w:val="center"/>
          </w:tcPr>
          <w:p w14:paraId="2EB3AB7B">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教学要求</w:t>
            </w:r>
          </w:p>
        </w:tc>
      </w:tr>
      <w:tr w14:paraId="06007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0F920D99">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highlight w:val="none"/>
              </w:rPr>
              <w:t>1</w:t>
            </w:r>
          </w:p>
        </w:tc>
        <w:tc>
          <w:tcPr>
            <w:tcW w:w="1065" w:type="dxa"/>
            <w:vAlign w:val="center"/>
          </w:tcPr>
          <w:p w14:paraId="0AD986D0">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highlight w:val="none"/>
              </w:rPr>
              <w:t>思想道德与法治</w:t>
            </w:r>
          </w:p>
        </w:tc>
        <w:tc>
          <w:tcPr>
            <w:tcW w:w="1875" w:type="dxa"/>
            <w:vAlign w:val="top"/>
          </w:tcPr>
          <w:p w14:paraId="7343E45D">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30AF0C69">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1.掌握马克思主义的世界观、人生观、价值观、道德观、法治观，坚定理想信念，弘扬中国精神；</w:t>
            </w:r>
          </w:p>
          <w:p w14:paraId="68F71BAF">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 xml:space="preserve">2.能运用马克思主义基本观点正确认识分析人生成长中的道德法治问题，培育和践行社会主义核心价值观，传承中华传统美德，提升思想道德素质和法治素养； </w:t>
            </w:r>
          </w:p>
          <w:p w14:paraId="35E9A4D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3.树立成长为担当民族复兴大任的时代新人自觉意识，以强国有我的使命主动投身于社会主义现代化建设新征程</w:t>
            </w:r>
          </w:p>
          <w:p w14:paraId="78D14FF7">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p>
        </w:tc>
        <w:tc>
          <w:tcPr>
            <w:tcW w:w="2595" w:type="dxa"/>
            <w:vAlign w:val="center"/>
          </w:tcPr>
          <w:p w14:paraId="3D8325F9">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787184CB">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lang w:val="en-US" w:eastAsia="zh-CN"/>
              </w:rPr>
              <w:t>针对大学生成长过程中面临的思想道德和法律问题，进行马克思主义的世界观、人生观、价值观、道德观、法治观教育，提高学生的思想道德素质和法治素养。内容包括成就担当民族复兴大任的时代新人；领悟人生真谛把握人生方向；追求远大理想坚定崇高信念；继承优良传统弘扬中国精神；明确价值要求践行价值准则；遵守道德规范锤炼道德品格；学习法治思想提升法治素养</w:t>
            </w:r>
          </w:p>
        </w:tc>
        <w:tc>
          <w:tcPr>
            <w:tcW w:w="3283" w:type="dxa"/>
            <w:vAlign w:val="top"/>
          </w:tcPr>
          <w:p w14:paraId="3448FCB9">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以落实立德树人根本任务为目的，将培育学生的学科核心素养贯穿于教学活动全过程。坚持正确育人导向，强化价值引领，科学制定教学目标，注重探讨式和体验性学习，加强社会实践活动。教学设计要紧密结合各章节教学目标和教学内容，有重难点的开展教学活动，教学方式要采用多媒体课堂教学与课外实践教学相结合。定期组织集体备课，准确把握教材基本精神，形成统一的参考教案。实践课教学环节</w:t>
            </w:r>
          </w:p>
          <w:p w14:paraId="7B45A2A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根据教学内容，选择开展社会调查、撰写调研报告等形式，以强化学生活学活用所学知识解决实际问题的能力</w:t>
            </w:r>
          </w:p>
          <w:p w14:paraId="25BC050F">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p>
        </w:tc>
      </w:tr>
      <w:tr w14:paraId="19F59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79AEA6F8">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highlight w:val="none"/>
              </w:rPr>
              <w:t>2</w:t>
            </w:r>
          </w:p>
        </w:tc>
        <w:tc>
          <w:tcPr>
            <w:tcW w:w="1065" w:type="dxa"/>
            <w:vAlign w:val="center"/>
          </w:tcPr>
          <w:p w14:paraId="40ADCC98">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highlight w:val="none"/>
              </w:rPr>
              <w:t>毛泽东思想和中国特色社会主义理论体系概论</w:t>
            </w:r>
          </w:p>
        </w:tc>
        <w:tc>
          <w:tcPr>
            <w:tcW w:w="1875" w:type="dxa"/>
            <w:vAlign w:val="center"/>
          </w:tcPr>
          <w:p w14:paraId="39C6A64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1.掌握中国化马克思主义理论 形 成 的 社 会 历 史 条件、科学内涵、精神实质和历史地位；</w:t>
            </w:r>
          </w:p>
          <w:p w14:paraId="1E1C8A0D">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2.能运用马克思主义的立场、观点和方法分析、解决问题，自觉坚定贯彻党的基本理论、基本路线、基 本方略及各项方针政策，积极投身到全面建设社会主义现代化的伟大实践中；</w:t>
            </w:r>
          </w:p>
          <w:p w14:paraId="00232CB8">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lang w:val="en-US" w:eastAsia="zh-CN"/>
              </w:rPr>
              <w:t>3.树立共产主义远大理想和中国特色社会主义共同理想，牢固树立“四个意识 ” ， 坚 定 “ 四 个 自信”，坚决做到“两个维护”，成长为具有过硬政治素质的社会主义事业建设者和接班人</w:t>
            </w:r>
          </w:p>
        </w:tc>
        <w:tc>
          <w:tcPr>
            <w:tcW w:w="2595" w:type="dxa"/>
            <w:vAlign w:val="center"/>
          </w:tcPr>
          <w:p w14:paraId="5C819AA7">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lang w:val="en-US" w:eastAsia="zh-CN"/>
              </w:rPr>
              <w:t>以马克思主义中国化为主线，以马克思主义中国化的理论成果为重点，全面系统阐述毛泽东思想的形成、主要内容及历史地位；邓小平理论的形成、主要内容及历史地位，“三个代表”重要思想形成、主要内容及历史地位，科学发展观的形成、主要内容及历史地位</w:t>
            </w:r>
          </w:p>
        </w:tc>
        <w:tc>
          <w:tcPr>
            <w:tcW w:w="3283" w:type="dxa"/>
            <w:vAlign w:val="top"/>
          </w:tcPr>
          <w:p w14:paraId="4DCE1BE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以落实立德树人根本任务为目的，将培育学生的学科核心素养贯穿于教学活动全过程。坚持正确育人导向，强化价值引领，科学制定教学目标，注重探讨式和体验性学习，加强社会实践活动，注重运用新媒体新技术，提高教学效率。教学方式要采用多媒体课堂教学与课外实践教学相结合，定期组织集体备课。课堂教学环节主要采用理论教学、案例教学、</w:t>
            </w:r>
          </w:p>
          <w:p w14:paraId="6FB3BC8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课堂互动、多媒体教学等方式进行，让学生掌握教材基础知识和基本理论；实践课教学环节根据教学内容，选择在红色文化教育实践基地教学、参观红色展馆、参加专题讲座等形式，以强化学生活学活用所学知识解决实际问题的能力</w:t>
            </w:r>
          </w:p>
          <w:p w14:paraId="6F93CD14">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p>
          <w:p w14:paraId="35C0F1D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p>
          <w:p w14:paraId="78B777C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p>
          <w:p w14:paraId="1C36947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p>
          <w:p w14:paraId="7F6BE5DB">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p>
        </w:tc>
      </w:tr>
      <w:tr w14:paraId="5ACF6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37FA85E5">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highlight w:val="none"/>
                <w:lang w:val="en-US" w:eastAsia="zh-CN"/>
              </w:rPr>
              <w:t>3</w:t>
            </w:r>
          </w:p>
        </w:tc>
        <w:tc>
          <w:tcPr>
            <w:tcW w:w="1065" w:type="dxa"/>
            <w:vAlign w:val="center"/>
          </w:tcPr>
          <w:p w14:paraId="5436C732">
            <w:pPr>
              <w:keepNext w:val="0"/>
              <w:keepLines w:val="0"/>
              <w:pageBreakBefore w:val="0"/>
              <w:widowControl/>
              <w:kinsoku/>
              <w:wordWrap/>
              <w:overflowPunct/>
              <w:topLinePunct w:val="0"/>
              <w:autoSpaceDE w:val="0"/>
              <w:autoSpaceDN w:val="0"/>
              <w:bidi w:val="0"/>
              <w:adjustRightInd w:val="0"/>
              <w:snapToGrid w:val="0"/>
              <w:spacing w:before="65" w:line="231" w:lineRule="auto"/>
              <w:ind w:left="122"/>
              <w:jc w:val="center"/>
              <w:textAlignment w:val="baseline"/>
              <w:rPr>
                <w:rFonts w:hint="eastAsia" w:ascii="楷体" w:hAnsi="楷体" w:eastAsia="楷体" w:cs="楷体"/>
                <w:b w:val="0"/>
                <w:bCs/>
                <w:color w:val="auto"/>
                <w:spacing w:val="7"/>
                <w:sz w:val="20"/>
                <w:szCs w:val="20"/>
                <w:highlight w:val="none"/>
              </w:rPr>
            </w:pPr>
            <w:r>
              <w:rPr>
                <w:rFonts w:hint="eastAsia" w:ascii="楷体" w:hAnsi="楷体" w:eastAsia="楷体" w:cs="楷体"/>
                <w:b w:val="0"/>
                <w:bCs/>
                <w:color w:val="auto"/>
                <w:spacing w:val="7"/>
                <w:sz w:val="20"/>
                <w:szCs w:val="20"/>
                <w:highlight w:val="none"/>
              </w:rPr>
              <w:t>习近平新时代中国特色社会</w:t>
            </w:r>
          </w:p>
          <w:p w14:paraId="4A549D7B">
            <w:pPr>
              <w:keepNext w:val="0"/>
              <w:keepLines w:val="0"/>
              <w:pageBreakBefore w:val="0"/>
              <w:widowControl/>
              <w:kinsoku/>
              <w:wordWrap/>
              <w:overflowPunct/>
              <w:topLinePunct w:val="0"/>
              <w:autoSpaceDE w:val="0"/>
              <w:autoSpaceDN w:val="0"/>
              <w:bidi w:val="0"/>
              <w:adjustRightInd w:val="0"/>
              <w:snapToGrid w:val="0"/>
              <w:spacing w:before="65" w:line="231" w:lineRule="auto"/>
              <w:ind w:left="122"/>
              <w:jc w:val="center"/>
              <w:textAlignment w:val="baseline"/>
              <w:rPr>
                <w:rFonts w:hint="eastAsia" w:ascii="楷体" w:hAnsi="楷体" w:eastAsia="楷体" w:cs="楷体"/>
                <w:b w:val="0"/>
                <w:bCs/>
                <w:color w:val="auto"/>
                <w:spacing w:val="7"/>
                <w:sz w:val="20"/>
                <w:szCs w:val="20"/>
                <w:highlight w:val="none"/>
              </w:rPr>
            </w:pPr>
            <w:r>
              <w:rPr>
                <w:rFonts w:hint="eastAsia" w:ascii="楷体" w:hAnsi="楷体" w:eastAsia="楷体" w:cs="楷体"/>
                <w:b w:val="0"/>
                <w:bCs/>
                <w:color w:val="auto"/>
                <w:spacing w:val="7"/>
                <w:sz w:val="20"/>
                <w:szCs w:val="20"/>
                <w:highlight w:val="none"/>
              </w:rPr>
              <w:t>义</w:t>
            </w:r>
            <w:r>
              <w:rPr>
                <w:rFonts w:hint="eastAsia" w:ascii="楷体" w:hAnsi="楷体" w:eastAsia="楷体" w:cs="楷体"/>
                <w:b w:val="0"/>
                <w:bCs/>
                <w:color w:val="auto"/>
                <w:spacing w:val="7"/>
                <w:sz w:val="20"/>
                <w:szCs w:val="20"/>
                <w:highlight w:val="none"/>
                <w:lang w:val="en-US" w:eastAsia="zh-CN"/>
              </w:rPr>
              <w:t>思</w:t>
            </w:r>
            <w:r>
              <w:rPr>
                <w:rFonts w:hint="eastAsia" w:ascii="楷体" w:hAnsi="楷体" w:eastAsia="楷体" w:cs="楷体"/>
                <w:b w:val="0"/>
                <w:bCs/>
                <w:color w:val="auto"/>
                <w:spacing w:val="7"/>
                <w:sz w:val="20"/>
                <w:szCs w:val="20"/>
                <w:highlight w:val="none"/>
              </w:rPr>
              <w:t>想概论</w:t>
            </w:r>
          </w:p>
          <w:p w14:paraId="7B07866A">
            <w:pPr>
              <w:keepNext w:val="0"/>
              <w:keepLines w:val="0"/>
              <w:pageBreakBefore w:val="0"/>
              <w:widowControl/>
              <w:kinsoku/>
              <w:wordWrap/>
              <w:overflowPunct/>
              <w:topLinePunct w:val="0"/>
              <w:autoSpaceDE w:val="0"/>
              <w:autoSpaceDN w:val="0"/>
              <w:bidi w:val="0"/>
              <w:adjustRightInd w:val="0"/>
              <w:snapToGrid w:val="0"/>
              <w:spacing w:before="65" w:line="231" w:lineRule="auto"/>
              <w:ind w:left="122" w:leftChars="0"/>
              <w:jc w:val="center"/>
              <w:textAlignment w:val="baseline"/>
              <w:rPr>
                <w:b w:val="0"/>
                <w:bCs/>
              </w:rPr>
            </w:pPr>
          </w:p>
        </w:tc>
        <w:tc>
          <w:tcPr>
            <w:tcW w:w="1875" w:type="dxa"/>
            <w:vAlign w:val="center"/>
          </w:tcPr>
          <w:p w14:paraId="0303B3A5">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 xml:space="preserve">1.掌握马克思主义中国化时代化的最新理论成果形成的社会历史条件、科学内涵、精神实质和主要内 容，深刻领会习近平新时代中国特色社会主义思想为“治党治国及全球治理 ” 思 想 的重要历史地位，把握习近平新时代中国特色社会主义思想的世界观和方法论； </w:t>
            </w:r>
          </w:p>
          <w:p w14:paraId="1201CB70">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 xml:space="preserve">2.能运用习近平新时代中国特色社会主义思想蕴含的世界观和方法论分析、解决实现社会主义现代化强国和中华民族伟大复兴实践中的问题； </w:t>
            </w:r>
          </w:p>
          <w:p w14:paraId="17AC4C4D">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3.自觉坚定贯彻党的基本理论、基本路线、基本方略及各项方针政策，积极投身到全面建设社会主义</w:t>
            </w:r>
          </w:p>
          <w:p w14:paraId="0D631829">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lang w:val="en-US" w:eastAsia="zh-CN"/>
              </w:rPr>
              <w:t>现代化强国的伟大实践，牢固增强“四个意识”，坚定“四个自信”、坚决做到“两个维护”，成长为具有过硬政治素质的社会主义事业建设者和接班人</w:t>
            </w:r>
          </w:p>
        </w:tc>
        <w:tc>
          <w:tcPr>
            <w:tcW w:w="2595" w:type="dxa"/>
            <w:vAlign w:val="center"/>
          </w:tcPr>
          <w:p w14:paraId="2A57C36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习近平新时代中国特色社会主义思想的创立及其历史地位；新时代坚持和发展中国特色社会主义，以中国式现代化全面推进中华民族伟大复兴，坚持党的全面领导，坚持以人为本，全面深化改革，推动高质量发展，社会主义现代化建设的教育、科技、人才战略，发展全过程人民民主，全面依法治国，建设社会主义文化强国，以保障和改善民生为重点加强社会建设，建设社会主义生态文明，维护和塑造国家安全，建设巩固国防和强大人民军队，坚持“一国两制”和推进祖国完全统一，中国特色大国外交和构建人类命运共同体</w:t>
            </w:r>
          </w:p>
          <w:p w14:paraId="47ED0F20">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lang w:val="en-US" w:eastAsia="zh-CN"/>
              </w:rPr>
              <w:t>体，全面从严治党</w:t>
            </w:r>
          </w:p>
        </w:tc>
        <w:tc>
          <w:tcPr>
            <w:tcW w:w="3283" w:type="dxa"/>
            <w:vAlign w:val="center"/>
          </w:tcPr>
          <w:p w14:paraId="413115A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 xml:space="preserve">以落实立德树人根本任务为目的，将培育学生的学科核心素养贯穿于教学活动全过程。要求思政课教师在课堂教学中始终坚持马克思主义立场观点方法，在政治立场、政治方向、政治原则、政治道路上同以习近平同志为核心的党中央保持高度一致。教学方式要采用多媒体课堂教学与课外实践教学相结合，定期组织集体备课。 </w:t>
            </w:r>
          </w:p>
          <w:p w14:paraId="1D6AFF54">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课堂教学环节主要采用理论教学、案例教学、课堂互动、多媒体教学等方式进行，让学生掌握教材基础知识和基本理论；实践课教学环节根据教学内容，选择在思政课实践教学基地教学或参观红色展馆、参加专题讲座等形式，以强化学生活学活用所学知识解决实际问题的能力</w:t>
            </w:r>
          </w:p>
          <w:p w14:paraId="07226256">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p>
        </w:tc>
      </w:tr>
      <w:tr w14:paraId="61F8C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7138F6A3">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bookmarkStart w:id="21" w:name="_Toc11743"/>
            <w:bookmarkStart w:id="22" w:name="_Toc11926"/>
            <w:r>
              <w:rPr>
                <w:rFonts w:hint="eastAsia" w:ascii="楷体" w:hAnsi="楷体" w:eastAsia="楷体" w:cs="楷体"/>
                <w:b w:val="0"/>
                <w:bCs/>
                <w:color w:val="auto"/>
                <w:sz w:val="20"/>
                <w:szCs w:val="20"/>
                <w:highlight w:val="none"/>
                <w:lang w:val="en-US" w:eastAsia="zh-CN"/>
              </w:rPr>
              <w:t>4</w:t>
            </w:r>
          </w:p>
        </w:tc>
        <w:tc>
          <w:tcPr>
            <w:tcW w:w="1065" w:type="dxa"/>
            <w:vAlign w:val="center"/>
          </w:tcPr>
          <w:p w14:paraId="66024419">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highlight w:val="none"/>
              </w:rPr>
              <w:t>形势与政策</w:t>
            </w:r>
          </w:p>
        </w:tc>
        <w:tc>
          <w:tcPr>
            <w:tcW w:w="1875" w:type="dxa"/>
            <w:vAlign w:val="center"/>
          </w:tcPr>
          <w:p w14:paraId="37B16A12">
            <w:pPr>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 xml:space="preserve">1.全面正确认识党和国家面临的形势和任务，正确认识国情，理解党的路线方针政策； </w:t>
            </w:r>
          </w:p>
          <w:p w14:paraId="653B524E">
            <w:pPr>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 xml:space="preserve">2.提高学生走向社会发展所需要思想、文化、职业等方面的综合素质； </w:t>
            </w:r>
          </w:p>
          <w:p w14:paraId="55243946">
            <w:pPr>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3.引导大学生正确认识和分析当前国内外形势，统一思想，坚定信心和决心，培养正确的分辨能力和判断能力。</w:t>
            </w:r>
          </w:p>
          <w:p w14:paraId="2971A2B2">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p>
        </w:tc>
        <w:tc>
          <w:tcPr>
            <w:tcW w:w="2595" w:type="dxa"/>
            <w:vAlign w:val="center"/>
          </w:tcPr>
          <w:p w14:paraId="7BA7B542">
            <w:pPr>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依据中宣部、教育部下发的“高校形势与政策教育教学要点”，结合当前国际国内形势，介绍当前国内外经济政治形势、国际关系以及国内外热点事件，阐明党的路线方针政策和我国政府的基本原则、基本立场与应对政策</w:t>
            </w:r>
          </w:p>
          <w:p w14:paraId="7E486537">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p>
        </w:tc>
        <w:tc>
          <w:tcPr>
            <w:tcW w:w="3283" w:type="dxa"/>
            <w:vAlign w:val="center"/>
          </w:tcPr>
          <w:p w14:paraId="561C2888">
            <w:pPr>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以落实立德树人根本任务为目的，将培育学生的学科核心素养贯穿于教学活动全过程。坚持正确育人导向，强化价值引领，科学制定教学目标，注重探讨式和体验性学习，加强社会实践活动，定期组织集体备课，准确把握教材基本精神，形成统一的参考教案，同时要注重运用新媒体新技术。教学方式要采用多媒体课堂教学与课外实践教学相结合。实践课</w:t>
            </w:r>
          </w:p>
          <w:p w14:paraId="6A09FE0A">
            <w:pPr>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教学环节根据教学内容，选择参加专题讲座或开展社会调查、撰写调研报告等形式，以强化学生活学活用所学知识解决实际问题的能力</w:t>
            </w:r>
          </w:p>
          <w:p w14:paraId="25B0F43F">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p>
        </w:tc>
      </w:tr>
      <w:tr w14:paraId="1534C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73A505B0">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highlight w:val="none"/>
                <w:lang w:val="en-US" w:eastAsia="zh-CN"/>
              </w:rPr>
              <w:t>5</w:t>
            </w:r>
          </w:p>
        </w:tc>
        <w:tc>
          <w:tcPr>
            <w:tcW w:w="1065" w:type="dxa"/>
            <w:vAlign w:val="center"/>
          </w:tcPr>
          <w:p w14:paraId="56620CA6">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highlight w:val="none"/>
                <w:lang w:val="en-US" w:eastAsia="zh-CN"/>
              </w:rPr>
              <w:t>国家安全教育</w:t>
            </w:r>
          </w:p>
        </w:tc>
        <w:tc>
          <w:tcPr>
            <w:tcW w:w="1875" w:type="dxa"/>
            <w:vAlign w:val="center"/>
          </w:tcPr>
          <w:p w14:paraId="5C5AF4D7">
            <w:pPr>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1.引导学生系统理解总体国家安全观的内涵与精神实质，明晰中国特色国家安全道路的核心要义，掌握 “以人民安全为宗旨、政治安全为根本、经济安全为基础” 等多领域统筹的体系逻辑，深刻认识新时代国家安全形势的复杂性与开创性成就，从理论层面构建完整的国家安全认知框架。</w:t>
            </w:r>
          </w:p>
          <w:p w14:paraId="3FB0269C">
            <w:pPr>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使学生具备辨识危害国家安全行为的能力，能准确阐述全民国家安全教育日由来、国家安全定义及涵盖领域，知晓相关犯罪罪名与国家安全机关职责。同时，掌握维护国家安全的方法和途径，形成底线思维，能够将理论知识转化为分析现实安全问题的实践能力，强化风险研判与应对意识。</w:t>
            </w:r>
          </w:p>
          <w:p w14:paraId="01B80DC2">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lang w:val="en-US" w:eastAsia="zh-CN"/>
              </w:rPr>
              <w:t>3.推动学生将国家安全意识内化为自觉行动，明确公民维护国家安全的法定义务，树立 “国家安全人人有责” 的责任担当。引导青年学生在学习与生活中践行总体国家安全观，主动参与国家安全宣传，为以中国式现代化全面推进强国建设贡献青春力量，实现从认知到行动的全链条素养提升</w:t>
            </w:r>
          </w:p>
        </w:tc>
        <w:tc>
          <w:tcPr>
            <w:tcW w:w="2595" w:type="dxa"/>
            <w:vAlign w:val="center"/>
          </w:tcPr>
          <w:p w14:paraId="6AD7E647">
            <w:pPr>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《国家安全教育大学生读本》系统阐释总体国家安全观的重大意义、科学内涵与核心要义，全面展现新时代党领导国家安全工作的开创性成就。全书由导论及 10 章构成，导论解析我国国家安全形势与大学生学习要求，主体章节围绕理论体系展开，涵盖完整领会总体国家安全观、走中国特色国家安全道路、统筹发展和安全等内容，详细阐述人民安全、政治安全、经济安全等重点领域安全屏障建设，明确新时代大学生践行总体国家安全观的实践路径，助力青年学子构建国家安全知识体系，增强维护国家安全的意识与能力</w:t>
            </w:r>
          </w:p>
          <w:p w14:paraId="7A6A5648">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p>
        </w:tc>
        <w:tc>
          <w:tcPr>
            <w:tcW w:w="3283" w:type="dxa"/>
            <w:vAlign w:val="center"/>
          </w:tcPr>
          <w:p w14:paraId="04D5EF95">
            <w:pPr>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以落实立德树人根本任务为目的。高校是筑牢国家安全人民防线的重要组成部分，新时代大学生是维护国家安全的新鲜力量。教学中注重讲授总体国家安全观的重大意义、科学内涵、核心要义，教学内容要充分反映新时代党领导国家安全工作的开创性成就和历史性变革，引导新时代大学生系统把握总体国家安全观、增强维护国家安全的意识和能力</w:t>
            </w:r>
          </w:p>
          <w:p w14:paraId="07F4F8A0">
            <w:pPr>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ascii="楷体" w:hAnsi="楷体" w:eastAsia="楷体" w:cs="楷体"/>
                <w:b w:val="0"/>
                <w:bCs/>
                <w:color w:val="auto"/>
                <w:sz w:val="20"/>
                <w:szCs w:val="20"/>
                <w:lang w:val="en-US" w:eastAsia="zh-CN"/>
              </w:rPr>
            </w:pPr>
          </w:p>
          <w:p w14:paraId="397627A4">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p>
        </w:tc>
      </w:tr>
      <w:tr w14:paraId="14F7E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5CC3C06F">
            <w:pPr>
              <w:keepNext w:val="0"/>
              <w:keepLines w:val="0"/>
              <w:pageBreakBefore w:val="0"/>
              <w:widowControl/>
              <w:tabs>
                <w:tab w:val="left" w:pos="384"/>
              </w:tabs>
              <w:kinsoku/>
              <w:wordWrap/>
              <w:overflowPunct/>
              <w:topLinePunct w:val="0"/>
              <w:autoSpaceDE w:val="0"/>
              <w:autoSpaceDN w:val="0"/>
              <w:bidi w:val="0"/>
              <w:adjustRightInd w:val="0"/>
              <w:snapToGrid w:val="0"/>
              <w:ind w:firstLine="200" w:firstLineChars="100"/>
              <w:jc w:val="left"/>
              <w:textAlignment w:val="baseline"/>
              <w:rPr>
                <w:b w:val="0"/>
                <w:bCs/>
              </w:rPr>
            </w:pPr>
            <w:r>
              <w:rPr>
                <w:rFonts w:hint="eastAsia" w:ascii="楷体" w:hAnsi="楷体" w:eastAsia="楷体" w:cs="楷体"/>
                <w:b w:val="0"/>
                <w:bCs/>
                <w:color w:val="auto"/>
                <w:sz w:val="20"/>
                <w:szCs w:val="20"/>
                <w:highlight w:val="none"/>
                <w:lang w:val="en-US" w:eastAsia="zh-CN"/>
              </w:rPr>
              <w:t>6</w:t>
            </w:r>
          </w:p>
        </w:tc>
        <w:tc>
          <w:tcPr>
            <w:tcW w:w="1065" w:type="dxa"/>
            <w:vAlign w:val="center"/>
          </w:tcPr>
          <w:p w14:paraId="5EDD5E59">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highlight w:val="none"/>
                <w:lang w:val="en-US" w:eastAsia="zh-CN"/>
              </w:rPr>
              <w:t>中华民族共同体概论</w:t>
            </w:r>
          </w:p>
        </w:tc>
        <w:tc>
          <w:tcPr>
            <w:tcW w:w="1875" w:type="dxa"/>
            <w:vAlign w:val="center"/>
          </w:tcPr>
          <w:p w14:paraId="7BD10262">
            <w:pPr>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1.要求学生掌握共同体基础理论，理解 “四个与共”“五个认同” 等核心理念，梳理从文明起源到新时代建设的历史脉络，明确其现实意义与全球价值</w:t>
            </w:r>
          </w:p>
          <w:p w14:paraId="4C9E2CE6">
            <w:pPr>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2.培养学生运用理论分析民族文化现象的能力，提升跨文化沟通与团结协作素养，并结合专业特色形成实践应用思路。</w:t>
            </w:r>
          </w:p>
          <w:p w14:paraId="3BA1DED9">
            <w:pPr>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3.引导学生将个人发展融入民族复兴进程，践行 “休戚与共、荣辱与共” 的共同体精神，实现知识传授与价值引领的统一</w:t>
            </w:r>
          </w:p>
          <w:p w14:paraId="45047880">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p>
        </w:tc>
        <w:tc>
          <w:tcPr>
            <w:tcW w:w="2595" w:type="dxa"/>
            <w:vAlign w:val="center"/>
          </w:tcPr>
          <w:p w14:paraId="27A4E51C">
            <w:pPr>
              <w:keepNext w:val="0"/>
              <w:keepLines w:val="0"/>
              <w:pageBreakBefore w:val="0"/>
              <w:widowControl/>
              <w:kinsoku/>
              <w:wordWrap/>
              <w:overflowPunct/>
              <w:topLinePunct w:val="0"/>
              <w:autoSpaceDE w:val="0"/>
              <w:autoSpaceDN w:val="0"/>
              <w:bidi w:val="0"/>
              <w:adjustRightInd w:val="0"/>
              <w:snapToGrid w:val="0"/>
              <w:jc w:val="left"/>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教材系统阐释中华民族共同体的理论与实践，构建了“理论—历史—现实—全球”的四维框架。以解析共同体基础概念、核心理念及理论渊源，确立正确中华民族历史观；继而以长时段视角追溯史前至明清的文明演进，展现从多元文化互动到“大一统”格局、从“华夷一体”到“中华一家”的历史逻辑；再聚焦近现代以来，中国共产党领导下民族独立解放、新中华民族大家庭建设及新时代共同体建设的创新实践；终以全球视野探讨中华民族共同体对人类命运共同体理念的贡献，彰显中华文明新形态的世界意义。既梳理解析中华民族“从多元到一体”的发展脉络，又紧扣时代命题，为理解中华民族的历史逻辑与当代使命提供权威参考</w:t>
            </w:r>
          </w:p>
          <w:p w14:paraId="392C621D">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p>
        </w:tc>
        <w:tc>
          <w:tcPr>
            <w:tcW w:w="3283" w:type="dxa"/>
            <w:vAlign w:val="center"/>
          </w:tcPr>
          <w:p w14:paraId="6D4BEE91">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lang w:val="en-US" w:eastAsia="zh-CN"/>
              </w:rPr>
              <w:t>教师要全面讲授和分析中华民族共同体的基本概念、基础理论、中华民族的起源形成和发展、古代各个时期各民族交往交流交融的历史事实、近代以来中华民族由自在到自觉的发展过程，构建中华民族共同体史料体系、话语体系、理论体系。教学中要注重使用论从史出、史论结合的教学方法，要引导学生牢固树立中华民族共同体理念，铸牢中华民族共同体意识。教学中要全面阐释“铸牢中华民族共同体意识”思想的目标与任务，系统讲述正确的中华民族国家观、历史观、民族观、文化观、宗教观。讲清讲透 “四个与共”“五个认同” 等核心理念，梳理从文明起源到新时代建设的历史脉络</w:t>
            </w:r>
          </w:p>
        </w:tc>
      </w:tr>
      <w:tr w14:paraId="11F6C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7B0B9006">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7</w:t>
            </w:r>
          </w:p>
        </w:tc>
        <w:tc>
          <w:tcPr>
            <w:tcW w:w="1065" w:type="dxa"/>
            <w:vAlign w:val="center"/>
          </w:tcPr>
          <w:p w14:paraId="7E079EA0">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大学语文</w:t>
            </w:r>
          </w:p>
        </w:tc>
        <w:tc>
          <w:tcPr>
            <w:tcW w:w="1875" w:type="dxa"/>
            <w:vAlign w:val="center"/>
          </w:tcPr>
          <w:p w14:paraId="16413F2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1.初步建立宏观的文学史体系，对中华优秀文化有一个全面立体的了解。具备基本的语文常识，了解中国文学发展概况；</w:t>
            </w:r>
          </w:p>
          <w:p w14:paraId="16F859CF">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2.优化听说读写技能，着重提升人际沟通、应用写作、鉴赏批评等能力；具有良好的阅读习惯和较强的母语驾驭能力，具有较高的审美鉴赏能力；能够运用文学基本知识，阅读、欣赏文章与作品，能够正确描述、评价文学现象，准确抒发对自然、社会、人生的感受；</w:t>
            </w:r>
          </w:p>
          <w:p w14:paraId="097006A2">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3.帮助学生树立正确三观，着重培育学生的职业素养、创新思维和工匠意识。养成实事求是、崇尚真知的科学态度；汲取仁人志士的智慧、襟怀和品质，培养职业情感和敬业精神，形成豁达、乐观、积极的人生态度；弘扬爱国主义为核心的民族精神</w:t>
            </w:r>
            <w:r>
              <w:rPr>
                <w:rFonts w:hint="eastAsia" w:ascii="楷体" w:hAnsi="楷体" w:eastAsia="楷体" w:cs="楷体"/>
                <w:b w:val="0"/>
                <w:bCs/>
                <w:color w:val="auto"/>
                <w:sz w:val="20"/>
                <w:szCs w:val="20"/>
                <w:lang w:eastAsia="zh-CN"/>
              </w:rPr>
              <w:t>和以</w:t>
            </w:r>
            <w:r>
              <w:rPr>
                <w:rFonts w:hint="eastAsia" w:ascii="楷体" w:hAnsi="楷体" w:eastAsia="楷体" w:cs="楷体"/>
                <w:b w:val="0"/>
                <w:bCs/>
                <w:color w:val="auto"/>
                <w:sz w:val="20"/>
                <w:szCs w:val="20"/>
              </w:rPr>
              <w:t>自主创新为核心的时代精神，树立文化自信</w:t>
            </w:r>
          </w:p>
        </w:tc>
        <w:tc>
          <w:tcPr>
            <w:tcW w:w="2595" w:type="dxa"/>
            <w:vAlign w:val="center"/>
          </w:tcPr>
          <w:p w14:paraId="0C17354F">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结合文学史的发展顺序，从各个阶段选取经典篇目进行赏析，包括古典文学、现当代文学、外国文学的文体特点、语法知识以及作家的生平经历、思想等。了解中国先进政治理念，以中国经典文学作品为载体，通过深入学习这些优秀文化的精华，对中国古代和现代文化传统进行了解和认识，并形成正确的政治思想观念，加强爱国主义教育。大学语文课程注重学生语文素养的培养，让学生明白语言的重要性和文化内涵。要密切结合讲读课文、学生关心的热点话题等对学生进行口头和书面表达训练</w:t>
            </w:r>
          </w:p>
        </w:tc>
        <w:tc>
          <w:tcPr>
            <w:tcW w:w="3283" w:type="dxa"/>
            <w:vAlign w:val="center"/>
          </w:tcPr>
          <w:p w14:paraId="25F05514">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讲授规定的必讲篇目，并选讲一定数量的自选篇目。培养学生对文学作品的阅读、欣赏和体悟能力。要求学生背诵一定数量的名篇名段。结合教学，播放2至3次著名影视文学作品，以增强学生的直观感受和理解。应结合职业教育的特点，遵循大学语文教学的工具性、人文性和审美性三大维度入手。从学生实际出发，兼顾各类专业，精选学习内容，改革教学方法，使全体学生获得应该具备的语文素养。以人文知识内容为本位，以文学作品为蓝本，融合语文能力培养。以传统语文知识为基础提升学生的人文精神和审美能力</w:t>
            </w:r>
          </w:p>
        </w:tc>
      </w:tr>
      <w:tr w14:paraId="71FBE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4AAD111D">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8</w:t>
            </w:r>
          </w:p>
        </w:tc>
        <w:tc>
          <w:tcPr>
            <w:tcW w:w="1065" w:type="dxa"/>
            <w:vAlign w:val="center"/>
          </w:tcPr>
          <w:p w14:paraId="2805BA5E">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体育与健康</w:t>
            </w:r>
          </w:p>
        </w:tc>
        <w:tc>
          <w:tcPr>
            <w:tcW w:w="1875" w:type="dxa"/>
            <w:vAlign w:val="top"/>
          </w:tcPr>
          <w:p w14:paraId="5833FF2A">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lang w:val="en-US" w:eastAsia="zh-CN"/>
              </w:rPr>
              <w:t>素质目标：</w:t>
            </w:r>
            <w:r>
              <w:rPr>
                <w:rFonts w:hint="eastAsia" w:ascii="楷体" w:hAnsi="楷体" w:eastAsia="楷体" w:cs="楷体"/>
                <w:b w:val="0"/>
                <w:bCs/>
                <w:color w:val="auto"/>
                <w:sz w:val="20"/>
                <w:szCs w:val="20"/>
              </w:rPr>
              <w:t>通过对健康知识的学习及科学的健身锻炼，培养“终身体育”意识，养成良好的锻炼习惯；</w:t>
            </w:r>
          </w:p>
          <w:p w14:paraId="23701CD0">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lang w:val="en-US" w:eastAsia="zh-CN"/>
              </w:rPr>
              <w:t>知识目标：</w:t>
            </w:r>
            <w:r>
              <w:rPr>
                <w:rFonts w:hint="eastAsia" w:ascii="楷体" w:hAnsi="楷体" w:eastAsia="楷体" w:cs="楷体"/>
                <w:b w:val="0"/>
                <w:bCs/>
                <w:color w:val="auto"/>
                <w:sz w:val="20"/>
                <w:szCs w:val="20"/>
              </w:rPr>
              <w:t>掌握1-2项运动的基本技能与科学锻炼的方法；</w:t>
            </w:r>
          </w:p>
          <w:p w14:paraId="41D3FBAE">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lang w:val="en-US" w:eastAsia="zh-CN"/>
              </w:rPr>
              <w:t>能力目标：</w:t>
            </w:r>
            <w:r>
              <w:rPr>
                <w:rFonts w:hint="eastAsia" w:ascii="楷体" w:hAnsi="楷体" w:eastAsia="楷体" w:cs="楷体"/>
                <w:b w:val="0"/>
                <w:bCs/>
                <w:color w:val="auto"/>
                <w:sz w:val="20"/>
                <w:szCs w:val="20"/>
              </w:rPr>
              <w:t>能分析自己专业岗位工作的职业体能需求、职业危害与职业病，能通过针对性的训练有效提升职业身体素质</w:t>
            </w:r>
          </w:p>
        </w:tc>
        <w:tc>
          <w:tcPr>
            <w:tcW w:w="2595" w:type="dxa"/>
            <w:vAlign w:val="top"/>
          </w:tcPr>
          <w:p w14:paraId="47F5DAD9">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体育课程是大学生以身体练习为主要手段，通过合理的体育教育和科学的体育锻炼过程，达到增强体质、增进健康和提高体育素养为主要目标的公共必修课程</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rPr>
              <w:t>是学校课程体系的重要组成部分</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rPr>
              <w:t>是高等学校体育工作的中心环节。</w:t>
            </w:r>
          </w:p>
          <w:p w14:paraId="2E545C52">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教学内容主要有：田径、武术、太极拳、八段锦、五禽戏、篮球、排球、气排球、足球、乒乓球、羽毛球、健美操、体育舞蹈、瑜伽、跆拳道等</w:t>
            </w:r>
          </w:p>
        </w:tc>
        <w:tc>
          <w:tcPr>
            <w:tcW w:w="3283" w:type="dxa"/>
            <w:vAlign w:val="top"/>
          </w:tcPr>
          <w:p w14:paraId="078E342E">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一、要求学生能够提高对身体和健康的认识，掌握有关身体健康的知识和科学健身方法，</w:t>
            </w:r>
            <w:r>
              <w:rPr>
                <w:rFonts w:hint="eastAsia" w:ascii="楷体" w:hAnsi="楷体" w:eastAsia="楷体" w:cs="楷体"/>
                <w:b w:val="0"/>
                <w:bCs/>
                <w:color w:val="auto"/>
                <w:sz w:val="20"/>
                <w:szCs w:val="20"/>
                <w:lang w:eastAsia="zh-CN"/>
              </w:rPr>
              <w:t>增强</w:t>
            </w:r>
            <w:r>
              <w:rPr>
                <w:rFonts w:hint="eastAsia" w:ascii="楷体" w:hAnsi="楷体" w:eastAsia="楷体" w:cs="楷体"/>
                <w:b w:val="0"/>
                <w:bCs/>
                <w:color w:val="auto"/>
                <w:sz w:val="20"/>
                <w:szCs w:val="20"/>
              </w:rPr>
              <w:t>自我保健意识</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rPr>
              <w:t>坚持锻炼，增强体能，促进身体健康</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rPr>
              <w:t>养成健康</w:t>
            </w:r>
            <w:r>
              <w:rPr>
                <w:rFonts w:hint="eastAsia" w:ascii="楷体" w:hAnsi="楷体" w:eastAsia="楷体" w:cs="楷体"/>
                <w:b w:val="0"/>
                <w:bCs/>
                <w:color w:val="auto"/>
                <w:sz w:val="20"/>
                <w:szCs w:val="20"/>
                <w:lang w:eastAsia="zh-CN"/>
              </w:rPr>
              <w:t>的</w:t>
            </w:r>
            <w:r>
              <w:rPr>
                <w:rFonts w:hint="eastAsia" w:ascii="楷体" w:hAnsi="楷体" w:eastAsia="楷体" w:cs="楷体"/>
                <w:b w:val="0"/>
                <w:bCs/>
                <w:color w:val="auto"/>
                <w:sz w:val="20"/>
                <w:szCs w:val="20"/>
              </w:rPr>
              <w:t>的生活方式。二、要求</w:t>
            </w:r>
            <w:r>
              <w:rPr>
                <w:rFonts w:hint="eastAsia" w:ascii="楷体" w:hAnsi="楷体" w:eastAsia="楷体" w:cs="楷体"/>
                <w:b w:val="0"/>
                <w:bCs/>
                <w:color w:val="auto"/>
                <w:sz w:val="20"/>
                <w:szCs w:val="20"/>
                <w:lang w:eastAsia="zh-CN"/>
              </w:rPr>
              <w:t>学生</w:t>
            </w:r>
            <w:r>
              <w:rPr>
                <w:rFonts w:hint="eastAsia" w:ascii="楷体" w:hAnsi="楷体" w:eastAsia="楷体" w:cs="楷体"/>
                <w:b w:val="0"/>
                <w:bCs/>
                <w:color w:val="auto"/>
                <w:sz w:val="20"/>
                <w:szCs w:val="20"/>
              </w:rPr>
              <w:t>在和谐、平等、友爱的运动环境中感受到集体的温暖和情感的愉悦</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rPr>
              <w:t>在经历挫折和克服困难的过程中，提高抗挫折能力和情绪调节能力，培养坚强的意志品质</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rPr>
              <w:t>在不断体验进步或成功的过程中，增强自尊心和自信心，培养创新精神和创新能力，形成积极向上、乐观开朗的生活态度。三、要求</w:t>
            </w:r>
            <w:r>
              <w:rPr>
                <w:rFonts w:hint="eastAsia" w:ascii="楷体" w:hAnsi="楷体" w:eastAsia="楷体" w:cs="楷体"/>
                <w:b w:val="0"/>
                <w:bCs/>
                <w:color w:val="auto"/>
                <w:sz w:val="20"/>
                <w:szCs w:val="20"/>
                <w:lang w:eastAsia="zh-CN"/>
              </w:rPr>
              <w:t>学生</w:t>
            </w:r>
            <w:r>
              <w:rPr>
                <w:rFonts w:hint="eastAsia" w:ascii="楷体" w:hAnsi="楷体" w:eastAsia="楷体" w:cs="楷体"/>
                <w:b w:val="0"/>
                <w:bCs/>
                <w:color w:val="auto"/>
                <w:sz w:val="20"/>
                <w:szCs w:val="20"/>
              </w:rPr>
              <w:t>理解个人健康与群体健康的密切关系，建立起对自我、群体和社会的责任感</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rPr>
              <w:t>形成现代社会所必需的合作与竞争意识，学会尊重和关心他人，培养良好的体育道德和</w:t>
            </w:r>
            <w:r>
              <w:rPr>
                <w:rFonts w:hint="eastAsia" w:ascii="楷体" w:hAnsi="楷体" w:eastAsia="楷体" w:cs="楷体"/>
                <w:b w:val="0"/>
                <w:bCs/>
                <w:color w:val="auto"/>
                <w:sz w:val="20"/>
                <w:szCs w:val="20"/>
                <w:lang w:eastAsia="zh-CN"/>
              </w:rPr>
              <w:t>爱国主义、集体主义、社会主义</w:t>
            </w:r>
            <w:r>
              <w:rPr>
                <w:rFonts w:hint="eastAsia" w:ascii="楷体" w:hAnsi="楷体" w:eastAsia="楷体" w:cs="楷体"/>
                <w:b w:val="0"/>
                <w:bCs/>
                <w:color w:val="auto"/>
                <w:sz w:val="20"/>
                <w:szCs w:val="20"/>
              </w:rPr>
              <w:t>精神学会获取现代社会中体育与健康知识的方法。四、学生能够掌握体育与健康的基本知识和运动技能，学会学习体育的基本方法，形成终身锻炼的意识和习惯</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rPr>
              <w:t>学生可以根据自己的兴趣爱好和不同需求，选择个人喜爱的方法参与体育活动，挖掘运动潜能，提高运动欣赏能力，形成积极的余暇生活方式</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rPr>
              <w:t>学生可以提高体育运动中的安全防范能力，获得在野外环境中的基本生存技能</w:t>
            </w:r>
          </w:p>
        </w:tc>
      </w:tr>
      <w:tr w14:paraId="388C0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0664FBF4">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9</w:t>
            </w:r>
          </w:p>
        </w:tc>
        <w:tc>
          <w:tcPr>
            <w:tcW w:w="1065" w:type="dxa"/>
            <w:vAlign w:val="center"/>
          </w:tcPr>
          <w:p w14:paraId="7152B90D">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基础英语</w:t>
            </w:r>
          </w:p>
        </w:tc>
        <w:tc>
          <w:tcPr>
            <w:tcW w:w="1875" w:type="dxa"/>
            <w:vAlign w:val="center"/>
          </w:tcPr>
          <w:p w14:paraId="4EF3974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lang w:val="en-US" w:eastAsia="zh-CN"/>
              </w:rPr>
              <w:t>1.</w:t>
            </w:r>
            <w:r>
              <w:rPr>
                <w:rFonts w:hint="eastAsia" w:ascii="楷体" w:hAnsi="楷体" w:eastAsia="楷体" w:cs="楷体"/>
                <w:b w:val="0"/>
                <w:bCs/>
                <w:color w:val="auto"/>
                <w:sz w:val="20"/>
                <w:szCs w:val="20"/>
              </w:rPr>
              <w:t>掌握一定的实用英语词汇、基本的英语语法规则；掌握不同类型文章阅读的技巧和方法；学会常用题材的写作方法；掌握多元文化知识；</w:t>
            </w:r>
          </w:p>
          <w:p w14:paraId="7100484D">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2.能听懂日常交际中的结构简单、发音清楚、语速较慢的英语对话，并能在日常生活中进行简单交流；能够正确运用基本语法知识；能阅读中等难度的英文资料并理解正确；能够完成常用题材的命题作文；能用英语</w:t>
            </w:r>
            <w:r>
              <w:rPr>
                <w:rFonts w:hint="eastAsia" w:ascii="楷体" w:hAnsi="楷体" w:eastAsia="楷体" w:cs="楷体"/>
                <w:b w:val="0"/>
                <w:bCs/>
                <w:color w:val="auto"/>
                <w:sz w:val="20"/>
                <w:szCs w:val="20"/>
                <w:lang w:eastAsia="zh-CN"/>
              </w:rPr>
              <w:t>讲好中国故事</w:t>
            </w:r>
            <w:r>
              <w:rPr>
                <w:rFonts w:hint="eastAsia" w:ascii="楷体" w:hAnsi="楷体" w:eastAsia="楷体" w:cs="楷体"/>
                <w:b w:val="0"/>
                <w:bCs/>
                <w:color w:val="auto"/>
                <w:sz w:val="20"/>
                <w:szCs w:val="20"/>
              </w:rPr>
              <w:t>；</w:t>
            </w:r>
          </w:p>
          <w:p w14:paraId="0ADE2EDB">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3.培养学生自主学习的能力和国际视野，增强人文关怀精神和开拓创新的意识；提升逻辑、思辨和创新思维能力；学会尊重他人，具有同理心与同情心</w:t>
            </w:r>
          </w:p>
        </w:tc>
        <w:tc>
          <w:tcPr>
            <w:tcW w:w="2595" w:type="dxa"/>
            <w:vAlign w:val="center"/>
          </w:tcPr>
          <w:p w14:paraId="578081A5">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本课程依托《高职国际英语---进阶综合教程》系列教材，采用新媒体多模态语篇，完成各种情境下常用词汇和句子的学习，如人物介绍、地点介绍、理性购物、家庭关系、娱乐活动、兴趣爱好、健康生活、假日旅游、社交礼仪、中国饮食、工作面试等情境。以学生具备的英语基础为起点，在加强英语语言基础知识和基本技能训练的同时培养学生具有一定的听、说、读、看、写、译的能力的同时融入中国传统文化等人文知识的学习，提升其人文素养和用英语传播中国故事的能力</w:t>
            </w:r>
          </w:p>
        </w:tc>
        <w:tc>
          <w:tcPr>
            <w:tcW w:w="3283" w:type="dxa"/>
            <w:vAlign w:val="center"/>
          </w:tcPr>
          <w:p w14:paraId="4987639C">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高职英语教学以英语的实际使用为导向，以培养学生的英语应用能力为核心。在把握学生学习能力的基础上，注重发展学生运用语言能力，进一步提升其交流能力和跨文化交际能力，以使学生在日常生活、专业学习和职业岗位等不同领域或语境中能够用英语有效地进行交流。本课程应基于产出导向法（POA）、任务教学法、讲授法等多种符合高职高专学生学习规律的方法借助多模态教学材料实现课程教学目标</w:t>
            </w:r>
          </w:p>
        </w:tc>
      </w:tr>
      <w:tr w14:paraId="2B08E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61ADF47C">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10</w:t>
            </w:r>
          </w:p>
        </w:tc>
        <w:tc>
          <w:tcPr>
            <w:tcW w:w="1065" w:type="dxa"/>
            <w:vAlign w:val="center"/>
          </w:tcPr>
          <w:p w14:paraId="6A0F946B">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医学英语</w:t>
            </w:r>
          </w:p>
        </w:tc>
        <w:tc>
          <w:tcPr>
            <w:tcW w:w="1875" w:type="dxa"/>
            <w:vAlign w:val="center"/>
          </w:tcPr>
          <w:p w14:paraId="5FEAB40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1.掌握常用专业英语词汇的词源、词根、词缀等；掌握医患沟通常用语；了解相关的文化知识，提升跨文化交际能力；</w:t>
            </w:r>
          </w:p>
          <w:p w14:paraId="13D05475">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2.能听懂职业情境下的语速较慢的英语简短对话；能借助词典或网络工具读懂难度一般的医学文献资料，完成常见医疗文件的书写；能使用专业术语介绍中医基础知识和常见中医治疗技术等；</w:t>
            </w:r>
          </w:p>
          <w:p w14:paraId="73A60D78">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lang w:val="en-US" w:eastAsia="zh-CN"/>
              </w:rPr>
              <w:t>3.培养学风严谨、实事求是的态度，加强团队协作能力，提升传播中医药文化基本理念和常用疗法的能力，增强职业认同感和自豪感</w:t>
            </w:r>
          </w:p>
        </w:tc>
        <w:tc>
          <w:tcPr>
            <w:tcW w:w="2595" w:type="dxa"/>
            <w:vAlign w:val="center"/>
          </w:tcPr>
          <w:p w14:paraId="38AD7591">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本课程依托外语教育与研究出版社出版的新职业英语行业篇《医护英语》，完成医学基础知识篇和临床医学篇相关情境知识的词汇和表达学习，包括人体系统介绍、挂号就诊、医院常见检查、疾病预防、中医学基础知识及常用中医治疗技术、太极拳、八段锦等，基于行业词汇，融入职场情境，强化输出练习，使学生掌握一定的行业英语基础知识和运用技能</w:t>
            </w:r>
          </w:p>
        </w:tc>
        <w:tc>
          <w:tcPr>
            <w:tcW w:w="3283" w:type="dxa"/>
            <w:vAlign w:val="center"/>
          </w:tcPr>
          <w:p w14:paraId="7BCFE275">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高职英语教学以英语的实际使用为导向，以培养学生的英语应用能力为核心。本课程应以知识传授、能力培养和对外文化传播的三位一体教学目标为导向，基于语言教学的基本规律与医学专业的学科特点，将教学内容根据重要程度，分为掌握、熟悉、了解三类。在把握学生基础英语学习水平的基础上，发展学</w:t>
            </w:r>
            <w:r>
              <w:rPr>
                <w:rFonts w:hint="eastAsia" w:ascii="楷体" w:hAnsi="楷体" w:eastAsia="楷体" w:cs="楷体"/>
                <w:b w:val="0"/>
                <w:bCs/>
                <w:color w:val="auto"/>
                <w:sz w:val="20"/>
                <w:szCs w:val="20"/>
                <w:lang w:eastAsia="zh-CN"/>
              </w:rPr>
              <w:t>生在</w:t>
            </w:r>
            <w:r>
              <w:rPr>
                <w:rFonts w:hint="eastAsia" w:ascii="楷体" w:hAnsi="楷体" w:eastAsia="楷体" w:cs="楷体"/>
                <w:b w:val="0"/>
                <w:bCs/>
                <w:color w:val="auto"/>
                <w:sz w:val="20"/>
                <w:szCs w:val="20"/>
              </w:rPr>
              <w:t>职场情境下交流沟通的能力，增强跨文化交际意识。基于产出导向法（POA）、任务教学法、讲授法等多种符合高职高专学生学习规律的方法借助多模态教学材料实现课程教学目标</w:t>
            </w:r>
          </w:p>
        </w:tc>
      </w:tr>
      <w:tr w14:paraId="18592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75A3C200">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11</w:t>
            </w:r>
          </w:p>
        </w:tc>
        <w:tc>
          <w:tcPr>
            <w:tcW w:w="1065" w:type="dxa"/>
            <w:vAlign w:val="center"/>
          </w:tcPr>
          <w:p w14:paraId="62D24C26">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信息技术</w:t>
            </w:r>
          </w:p>
        </w:tc>
        <w:tc>
          <w:tcPr>
            <w:tcW w:w="1875" w:type="dxa"/>
            <w:vAlign w:val="top"/>
          </w:tcPr>
          <w:p w14:paraId="2EA3AC53">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1.通过理论知识学习、技能训练和综合应用实践，使学生的信息素养和信息技术应用能力得到全面提升；</w:t>
            </w:r>
          </w:p>
          <w:p w14:paraId="2F83BC51">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通过丰富的教学内容和多样化的教学形式，帮助学生认识信息技术的重要作用，了解现代社会信息技术发展趋势；使学生掌握常用的工具软件和信息化办公技术，了解大数据、人工智能等新兴信息技术，具备支撑专业学习的能力，能综合运用信息技术解决问题；</w:t>
            </w:r>
          </w:p>
          <w:p w14:paraId="646940DC">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lang w:val="en-US" w:eastAsia="zh-CN"/>
              </w:rPr>
              <w:t>3.使学生拥有团队意识和职业精神，具备独立思考和主动探究能力，为学生职业能力的持续发展奠定基础</w:t>
            </w:r>
          </w:p>
        </w:tc>
        <w:tc>
          <w:tcPr>
            <w:tcW w:w="2595" w:type="dxa"/>
            <w:vAlign w:val="top"/>
          </w:tcPr>
          <w:p w14:paraId="0C5EDCBD">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1.计算机基础知识、系统的构成、信息安全等。</w:t>
            </w:r>
          </w:p>
          <w:p w14:paraId="4F7D3703">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2.操作系统的基本概念和作用；Windows操作系统的基本操作。</w:t>
            </w:r>
          </w:p>
          <w:p w14:paraId="5BF2DFE2">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3.文档的基本编辑、图片的插入和编辑、表格的插入和编辑、样式与模板的创建和使用等内容。</w:t>
            </w:r>
          </w:p>
          <w:p w14:paraId="39F932C4">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4.电子表格中工作表和工作簿操作、公式和函数的使用、图表分析展示数据、数据处理等内容。</w:t>
            </w:r>
          </w:p>
          <w:p w14:paraId="78DFE3D4">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5.演示文稿制作、动画设计、母版制作和使用、演示文稿放映和导出等内容。</w:t>
            </w:r>
          </w:p>
          <w:p w14:paraId="7F7DC41D">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6.信息检索基础知识及检索操作。</w:t>
            </w:r>
          </w:p>
          <w:p w14:paraId="2F2FE56D">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7.新一代信息技术的基本概念、技术特点及典型应用</w:t>
            </w:r>
          </w:p>
        </w:tc>
        <w:tc>
          <w:tcPr>
            <w:tcW w:w="3283" w:type="dxa"/>
            <w:vAlign w:val="top"/>
          </w:tcPr>
          <w:p w14:paraId="69B82691">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教学要紧扣学科核心素养和课程目标，在全面贯彻党的教育方针，落实立德树人根本任务的基础上，突出职业教育特色，提升学生的信息素养，培养学生的数字化学习能力和利用信息技术解决实际问题的能力。贯彻课程思政要求，加强对学生的情感态度和社会责任的教育；采用理论与实践相结合的教学方式，提升学生的信息技术技能和综合应用能力；培养学生的数字化学习能力和创新意识，使学生能将信息技术创新应用于日常生活、学习和工作中</w:t>
            </w:r>
          </w:p>
        </w:tc>
      </w:tr>
      <w:tr w14:paraId="3CBA7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7A50EF41">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12</w:t>
            </w:r>
          </w:p>
        </w:tc>
        <w:tc>
          <w:tcPr>
            <w:tcW w:w="1065" w:type="dxa"/>
            <w:vAlign w:val="center"/>
          </w:tcPr>
          <w:p w14:paraId="23573230">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大学生心理健康教育</w:t>
            </w:r>
          </w:p>
        </w:tc>
        <w:tc>
          <w:tcPr>
            <w:tcW w:w="1875" w:type="dxa"/>
            <w:vAlign w:val="center"/>
          </w:tcPr>
          <w:p w14:paraId="2721D94C">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1.结合学生群体心理发展特点及阶段心理困扰类型，帮助学生了解心理健康的基本知识，树立心理健康意识，掌握心理调适的方法；</w:t>
            </w:r>
          </w:p>
          <w:p w14:paraId="7EA0A9E9">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2.引导学生适应新环境、正确认识自我、学会学习、正确处理各种人际关系，进行情绪调适、恋爱与性心理辅导，促进学生养成良好的心理品质，提高职业素养和社会适应能力；</w:t>
            </w:r>
          </w:p>
          <w:p w14:paraId="2C3C0605">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3.通过心理健康课程教育体系，引导学生养成良好的心理品质和积极应对危机的意识，培养“德技兼修”具有当代大学生典范的人才队伍</w:t>
            </w:r>
          </w:p>
        </w:tc>
        <w:tc>
          <w:tcPr>
            <w:tcW w:w="2595" w:type="dxa"/>
            <w:vAlign w:val="center"/>
          </w:tcPr>
          <w:p w14:paraId="53AA6216">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大学生心理健康的概念与标准、大学生心理发展的特点和影响因素、大学生常见心理行为问题与</w:t>
            </w:r>
            <w:r>
              <w:rPr>
                <w:rFonts w:hint="eastAsia" w:ascii="楷体" w:hAnsi="楷体" w:eastAsia="楷体" w:cs="楷体"/>
                <w:b w:val="0"/>
                <w:bCs/>
                <w:color w:val="auto"/>
                <w:sz w:val="20"/>
                <w:szCs w:val="20"/>
                <w:lang w:eastAsia="zh-CN"/>
              </w:rPr>
              <w:t>调适</w:t>
            </w:r>
            <w:r>
              <w:rPr>
                <w:rFonts w:hint="eastAsia" w:ascii="楷体" w:hAnsi="楷体" w:eastAsia="楷体" w:cs="楷体"/>
                <w:b w:val="0"/>
                <w:bCs/>
                <w:color w:val="auto"/>
                <w:sz w:val="20"/>
                <w:szCs w:val="20"/>
              </w:rPr>
              <w:t>方法；自我意识的含义、大学生自我发展的特点和重要性、自我意识发展过程中出现的偏差及调适；情绪的概念、大学生的情绪特点和影响因素、情绪调适的方法；大学生人际交往特点、人际交往中的心理效应和技巧</w:t>
            </w:r>
          </w:p>
        </w:tc>
        <w:tc>
          <w:tcPr>
            <w:tcW w:w="3283" w:type="dxa"/>
            <w:vAlign w:val="center"/>
          </w:tcPr>
          <w:p w14:paraId="78D8276B">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心理健康课是集知识、体验和训练为一体的综合课程。课程要注重理论联系实际，注重培养学生实际应用能力；要充分发挥师生在教学中的主动性和创造性。教师要尊重学生的主体性，充分调动学生参与的积极性，开展课堂互动活动，避免单向的理论灌输和知识传授；课程要采用理论与体验教学相结合、讲授与训练相结合的教学方法，如案例分析、小组讨论、心理测试、团体训练、情境表演、角色扮演等</w:t>
            </w:r>
          </w:p>
        </w:tc>
      </w:tr>
      <w:tr w14:paraId="41C83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59B2D85D">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13</w:t>
            </w:r>
          </w:p>
        </w:tc>
        <w:tc>
          <w:tcPr>
            <w:tcW w:w="1065" w:type="dxa"/>
            <w:vAlign w:val="center"/>
          </w:tcPr>
          <w:p w14:paraId="12D1AF8B">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军事教育与</w:t>
            </w:r>
            <w:r>
              <w:rPr>
                <w:rFonts w:hint="eastAsia" w:ascii="楷体" w:hAnsi="楷体" w:eastAsia="楷体" w:cs="楷体"/>
                <w:b w:val="0"/>
                <w:bCs/>
                <w:color w:val="auto"/>
                <w:sz w:val="20"/>
                <w:szCs w:val="20"/>
                <w:lang w:val="en-US" w:eastAsia="zh-CN"/>
              </w:rPr>
              <w:t>技能</w:t>
            </w:r>
            <w:r>
              <w:rPr>
                <w:rFonts w:hint="eastAsia" w:ascii="楷体" w:hAnsi="楷体" w:eastAsia="楷体" w:cs="楷体"/>
                <w:b w:val="0"/>
                <w:bCs/>
                <w:color w:val="auto"/>
                <w:sz w:val="20"/>
                <w:szCs w:val="20"/>
              </w:rPr>
              <w:t>训练</w:t>
            </w:r>
          </w:p>
        </w:tc>
        <w:tc>
          <w:tcPr>
            <w:tcW w:w="1875" w:type="dxa"/>
            <w:vAlign w:val="center"/>
          </w:tcPr>
          <w:p w14:paraId="46ABAEAC">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1.以国防教育为主线，通过军事课教学，使大学生掌握基本军事理论与军事技能；</w:t>
            </w:r>
          </w:p>
          <w:p w14:paraId="1D12B574">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2.增强大学生国防观念和国家安全意识，强化爱国主义，集体主义观念，加强组织纪律性；</w:t>
            </w:r>
          </w:p>
          <w:p w14:paraId="556AFB3B">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3.促进大学生综合素质的提高，为中国人民解放军训练后备兵员和培养预备役军官打下坚实的基础，培养大学生时刻心系国防、关注国防，强化为国防建设服务的思想</w:t>
            </w:r>
          </w:p>
        </w:tc>
        <w:tc>
          <w:tcPr>
            <w:tcW w:w="2595" w:type="dxa"/>
            <w:vAlign w:val="center"/>
          </w:tcPr>
          <w:p w14:paraId="504C535C">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介绍中国国防概述、国防法规、国防建设、中国的武装力量、国防动员；国家安全概述、国家安全形势、国际战略形势；中国古代军事思想、当代中国军事思想，习近平强军思想；现代战争概述、新军事革命、机械和信息化战争等</w:t>
            </w:r>
          </w:p>
        </w:tc>
        <w:tc>
          <w:tcPr>
            <w:tcW w:w="3283" w:type="dxa"/>
            <w:vAlign w:val="center"/>
          </w:tcPr>
          <w:p w14:paraId="1B8C9622">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军事课列入学校的教学计划，按照《大纲》组织实施军事课教学，严格考勤考核制度。军事理论教学时数为36学时，在教学过程中，要掌握好深度，不断改进教学方法，积极采用以计算机为中心的多媒体教学，确保教学质量</w:t>
            </w:r>
          </w:p>
        </w:tc>
      </w:tr>
      <w:tr w14:paraId="4F4AA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72A71E8B">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1</w:t>
            </w:r>
            <w:r>
              <w:rPr>
                <w:rFonts w:hint="eastAsia" w:ascii="楷体" w:hAnsi="楷体" w:eastAsia="楷体" w:cs="楷体"/>
                <w:b w:val="0"/>
                <w:bCs/>
                <w:color w:val="auto"/>
                <w:sz w:val="20"/>
                <w:szCs w:val="20"/>
                <w:lang w:val="en-US" w:eastAsia="zh-CN"/>
              </w:rPr>
              <w:t>4</w:t>
            </w:r>
          </w:p>
        </w:tc>
        <w:tc>
          <w:tcPr>
            <w:tcW w:w="1065" w:type="dxa"/>
            <w:vAlign w:val="center"/>
          </w:tcPr>
          <w:p w14:paraId="2E0DFE9F">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劳动教育</w:t>
            </w:r>
          </w:p>
        </w:tc>
        <w:tc>
          <w:tcPr>
            <w:tcW w:w="1875" w:type="dxa"/>
            <w:vAlign w:val="top"/>
          </w:tcPr>
          <w:p w14:paraId="34C34FFE">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1.理解和形成马克思主义劳动观；</w:t>
            </w:r>
          </w:p>
          <w:p w14:paraId="3F110504">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2.牢固树立劳动最光荣、劳动最崇高劳动最伟大、劳动最美丽的观念；</w:t>
            </w:r>
          </w:p>
          <w:p w14:paraId="70BEE015">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3.培养勤俭、奋斗、创新、奉献的劳动精神，树立“以劳润德、以劳正心、生活本位”的劳动理念，培养大学生运用所学专业创造美好生活的能力</w:t>
            </w:r>
          </w:p>
        </w:tc>
        <w:tc>
          <w:tcPr>
            <w:tcW w:w="2595" w:type="dxa"/>
            <w:vAlign w:val="top"/>
          </w:tcPr>
          <w:p w14:paraId="6C731A24">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以日常生活劳动、生产劳动和服务性劳动等实践活动为主，开展劳动精神、 劳模精神、工匠精神专题教育，进行校园卫生保洁、绿化美化和寝室卫生打 扫等； 围绕创新创业，结合专业积极开展实习实训、专业服务、社会实践、 勤工助学等</w:t>
            </w:r>
          </w:p>
        </w:tc>
        <w:tc>
          <w:tcPr>
            <w:tcW w:w="3283" w:type="dxa"/>
            <w:vAlign w:val="top"/>
          </w:tcPr>
          <w:p w14:paraId="617A9272">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基于实践，围绕课程内容设计教学活动，注重探讨式和体验式学习；根据课程内容、结合学生特点，设计适合学生更</w:t>
            </w:r>
            <w:r>
              <w:rPr>
                <w:rFonts w:hint="eastAsia" w:ascii="楷体" w:hAnsi="楷体" w:eastAsia="楷体" w:cs="楷体"/>
                <w:b w:val="0"/>
                <w:bCs/>
                <w:color w:val="auto"/>
                <w:sz w:val="20"/>
                <w:szCs w:val="20"/>
                <w:lang w:eastAsia="zh-CN"/>
              </w:rPr>
              <w:t>好地</w:t>
            </w:r>
            <w:r>
              <w:rPr>
                <w:rFonts w:hint="eastAsia" w:ascii="楷体" w:hAnsi="楷体" w:eastAsia="楷体" w:cs="楷体"/>
                <w:b w:val="0"/>
                <w:bCs/>
                <w:color w:val="auto"/>
                <w:sz w:val="20"/>
                <w:szCs w:val="20"/>
              </w:rPr>
              <w:t>认知劳动的活动或议题。把劳动教育融入日常教学工作，为学生创造形式多样的劳动实践机会，引导学生深入理解劳动的价值，通过课堂内外的劳动实践活动来体会辛勤劳动、诚实劳动以及创造性劳动的真实意义，让学生懂得劳动才是成就自身技能梦想的有效途径</w:t>
            </w:r>
          </w:p>
        </w:tc>
      </w:tr>
      <w:tr w14:paraId="4D3CB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77D9F66A">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15</w:t>
            </w:r>
          </w:p>
        </w:tc>
        <w:tc>
          <w:tcPr>
            <w:tcW w:w="1065" w:type="dxa"/>
            <w:vAlign w:val="center"/>
          </w:tcPr>
          <w:p w14:paraId="642735AB">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学生体质健康监测</w:t>
            </w:r>
          </w:p>
        </w:tc>
        <w:tc>
          <w:tcPr>
            <w:tcW w:w="1875" w:type="dxa"/>
            <w:vAlign w:val="top"/>
          </w:tcPr>
          <w:p w14:paraId="459B49C0">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1.从身体形态、身体机能和身体素质等方面综合评定学生的体质健康水平；</w:t>
            </w:r>
          </w:p>
          <w:p w14:paraId="04303EEE">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2.促进学生体质健康发展、激励学生积极进行身体锻炼；</w:t>
            </w:r>
          </w:p>
          <w:p w14:paraId="2A082956">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3.促进学生发展核心素养体系，提升学业质量标准</w:t>
            </w:r>
          </w:p>
        </w:tc>
        <w:tc>
          <w:tcPr>
            <w:tcW w:w="2595" w:type="dxa"/>
            <w:vAlign w:val="top"/>
          </w:tcPr>
          <w:p w14:paraId="776A14DE">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测试内容：身高、体重、肺活量、50米跑、坐位体前屈、立定跳远、引体向上（男）/1分钟仰卧起坐（女）、1000米跑（男）/800米跑（女）</w:t>
            </w:r>
          </w:p>
        </w:tc>
        <w:tc>
          <w:tcPr>
            <w:tcW w:w="3283" w:type="dxa"/>
            <w:vAlign w:val="top"/>
          </w:tcPr>
          <w:p w14:paraId="71512CB8">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学生测试成绩评定达到良好及以上者，方可参加评优与评奖；成绩达到优秀者，方可</w:t>
            </w:r>
            <w:r>
              <w:rPr>
                <w:rFonts w:hint="eastAsia" w:ascii="楷体" w:hAnsi="楷体" w:eastAsia="楷体" w:cs="楷体"/>
                <w:b w:val="0"/>
                <w:bCs/>
                <w:color w:val="auto"/>
                <w:sz w:val="20"/>
                <w:szCs w:val="20"/>
                <w:lang w:eastAsia="zh-CN"/>
              </w:rPr>
              <w:t>获得</w:t>
            </w:r>
            <w:r>
              <w:rPr>
                <w:rFonts w:hint="eastAsia" w:ascii="楷体" w:hAnsi="楷体" w:eastAsia="楷体" w:cs="楷体"/>
                <w:b w:val="0"/>
                <w:bCs/>
                <w:color w:val="auto"/>
                <w:sz w:val="20"/>
                <w:szCs w:val="20"/>
              </w:rPr>
              <w:t>体育奖学分。测试成绩评定不及格者，在本学年度准予补测一次，补测仍不及格，则学年成绩评定为不及格。普通高等学校学生毕业时，《标准》测试的成绩达不到50分者按结业或肄业处理</w:t>
            </w:r>
          </w:p>
        </w:tc>
      </w:tr>
      <w:tr w14:paraId="4A78E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2132B2FB">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16</w:t>
            </w:r>
          </w:p>
        </w:tc>
        <w:tc>
          <w:tcPr>
            <w:tcW w:w="1065" w:type="dxa"/>
            <w:vAlign w:val="center"/>
          </w:tcPr>
          <w:p w14:paraId="71C7038D">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学生心理体验课堂</w:t>
            </w:r>
          </w:p>
        </w:tc>
        <w:tc>
          <w:tcPr>
            <w:tcW w:w="1875" w:type="dxa"/>
            <w:vAlign w:val="top"/>
          </w:tcPr>
          <w:p w14:paraId="05082988">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1.维护学生的身心健康、生命安全和校园的和谐稳定；</w:t>
            </w:r>
          </w:p>
          <w:p w14:paraId="76D76D6C">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2.提高学生心理调适能力，增强心理保健意识</w:t>
            </w:r>
          </w:p>
        </w:tc>
        <w:tc>
          <w:tcPr>
            <w:tcW w:w="2595" w:type="dxa"/>
            <w:vAlign w:val="top"/>
          </w:tcPr>
          <w:p w14:paraId="556F0172">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个案咨询、团体辅导、心理健康月主题系列活动</w:t>
            </w:r>
          </w:p>
        </w:tc>
        <w:tc>
          <w:tcPr>
            <w:tcW w:w="3283" w:type="dxa"/>
            <w:vAlign w:val="top"/>
          </w:tcPr>
          <w:p w14:paraId="20AB37A3">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积极构建发展性咨询与障碍性咨询相结合、团体辅导与个别咨询相结合、线下咨询与网络咨询相结合的心理咨询服务体系；精心设计和综合运用各种活动教育载体，注重不断创新活动载体，多渠道、多形式、多媒介地贴近学生需求及活动开展的系统性，助力学生健康成长、全面发展</w:t>
            </w:r>
          </w:p>
        </w:tc>
      </w:tr>
      <w:tr w14:paraId="2040E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14BD3D76">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17</w:t>
            </w:r>
          </w:p>
        </w:tc>
        <w:tc>
          <w:tcPr>
            <w:tcW w:w="1065" w:type="dxa"/>
            <w:vAlign w:val="center"/>
          </w:tcPr>
          <w:p w14:paraId="10B6A446">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大学生职业生涯</w:t>
            </w:r>
          </w:p>
          <w:p w14:paraId="6C8BC262">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规划</w:t>
            </w:r>
          </w:p>
        </w:tc>
        <w:tc>
          <w:tcPr>
            <w:tcW w:w="1875" w:type="dxa"/>
            <w:vAlign w:val="center"/>
          </w:tcPr>
          <w:p w14:paraId="48CFB3E9">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1.掌握系统职业生涯规划的具体内容和基本理论；</w:t>
            </w:r>
          </w:p>
          <w:p w14:paraId="65A83C41">
            <w:pPr>
              <w:keepNext w:val="0"/>
              <w:keepLines w:val="0"/>
              <w:pageBreakBefore w:val="0"/>
              <w:widowControl/>
              <w:kinsoku/>
              <w:wordWrap/>
              <w:overflowPunct/>
              <w:topLinePunct w:val="0"/>
              <w:autoSpaceDE w:val="0"/>
              <w:autoSpaceDN w:val="0"/>
              <w:bidi w:val="0"/>
              <w:adjustRightInd w:val="0"/>
              <w:snapToGrid w:val="0"/>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2.能熟练地运用职业生涯规划的方法和工具、策略进行生涯抉择和管理；</w:t>
            </w:r>
          </w:p>
          <w:p w14:paraId="0A532419">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lang w:val="en-US" w:eastAsia="zh-CN"/>
              </w:rPr>
              <w:t>3.唤醒学生生涯发展内驱力，树立学业规划和职业生涯应变意识</w:t>
            </w:r>
          </w:p>
        </w:tc>
        <w:tc>
          <w:tcPr>
            <w:tcW w:w="2595" w:type="dxa"/>
            <w:vAlign w:val="center"/>
          </w:tcPr>
          <w:p w14:paraId="0741FB5E">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lang w:val="en-US" w:eastAsia="zh-CN"/>
              </w:rPr>
              <w:t>认知大学生活与职业规划；学会自我认知；加强职业认知；职业生涯规划的决策与实施；评估与修正职业生涯规划；学会管理职业生涯</w:t>
            </w:r>
          </w:p>
        </w:tc>
        <w:tc>
          <w:tcPr>
            <w:tcW w:w="3283" w:type="dxa"/>
            <w:vAlign w:val="center"/>
          </w:tcPr>
          <w:p w14:paraId="574D4BCF">
            <w:pPr>
              <w:keepNext w:val="0"/>
              <w:keepLines w:val="0"/>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lang w:val="en-US" w:eastAsia="zh-CN"/>
              </w:rPr>
              <w:t>关注学生的职业生涯发展，立足于学生职业生涯发展能力的培养和知识的实际应用，立足于与职业生活和学生实际生活的紧密结合，强调职业生涯发展指导的实效性；为学生提供个性化指导，使每个学生都能体验到学习的乐趣以及实用性，以满足自我发展的需要</w:t>
            </w:r>
          </w:p>
        </w:tc>
      </w:tr>
      <w:tr w14:paraId="123A1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2CD4A3E6">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18</w:t>
            </w:r>
          </w:p>
        </w:tc>
        <w:tc>
          <w:tcPr>
            <w:tcW w:w="1065" w:type="dxa"/>
            <w:vAlign w:val="center"/>
          </w:tcPr>
          <w:p w14:paraId="4847BE14">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就业与创业指导</w:t>
            </w:r>
          </w:p>
        </w:tc>
        <w:tc>
          <w:tcPr>
            <w:tcW w:w="1875" w:type="dxa"/>
            <w:vAlign w:val="center"/>
          </w:tcPr>
          <w:p w14:paraId="7851242F">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1.掌握就业创业的基本形势、政策、途径以及求职方法和技巧；</w:t>
            </w:r>
          </w:p>
          <w:p w14:paraId="02E182C5">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2.能进行人职匹配分析，系统练习、提升求职创业能力；</w:t>
            </w:r>
          </w:p>
          <w:p w14:paraId="1735D741">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3.引导学生形成科学合理的就业观念培养学生的竞争意识，帮助学生打通职业通道</w:t>
            </w:r>
          </w:p>
        </w:tc>
        <w:tc>
          <w:tcPr>
            <w:tcW w:w="2595" w:type="dxa"/>
            <w:vAlign w:val="center"/>
          </w:tcPr>
          <w:p w14:paraId="247A8510">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当前就业形势与政策，医学毕业生的就业途径和形式；就业信息收集和运用；就业法律法规；创业基本理论</w:t>
            </w:r>
          </w:p>
        </w:tc>
        <w:tc>
          <w:tcPr>
            <w:tcW w:w="3283" w:type="dxa"/>
            <w:vAlign w:val="center"/>
          </w:tcPr>
          <w:p w14:paraId="3124EC01">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培养和提升学生的职业素养和求职竞争力，并根据医学学科特点，引导学生形成科学合理的就业观念，了解求职就业的基本方法和技巧，帮助学生顺利就业、适应职场</w:t>
            </w:r>
            <w:r>
              <w:rPr>
                <w:rFonts w:hint="eastAsia" w:ascii="楷体" w:hAnsi="楷体" w:eastAsia="楷体" w:cs="楷体"/>
                <w:b w:val="0"/>
                <w:bCs/>
                <w:color w:val="auto"/>
                <w:sz w:val="20"/>
                <w:szCs w:val="20"/>
                <w:lang w:eastAsia="zh-CN"/>
              </w:rPr>
              <w:t>和可持续发展</w:t>
            </w:r>
          </w:p>
        </w:tc>
      </w:tr>
      <w:tr w14:paraId="06600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71758AE0">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snapToGrid w:val="0"/>
                <w:color w:val="auto"/>
                <w:kern w:val="0"/>
                <w:sz w:val="20"/>
                <w:szCs w:val="20"/>
                <w:lang w:val="en-US" w:eastAsia="zh-CN" w:bidi="ar-SA"/>
              </w:rPr>
              <w:t>19</w:t>
            </w:r>
          </w:p>
        </w:tc>
        <w:tc>
          <w:tcPr>
            <w:tcW w:w="1065" w:type="dxa"/>
            <w:vAlign w:val="center"/>
          </w:tcPr>
          <w:p w14:paraId="2CA494CF">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卫生法律法规</w:t>
            </w:r>
          </w:p>
        </w:tc>
        <w:tc>
          <w:tcPr>
            <w:tcW w:w="1875" w:type="dxa"/>
            <w:vAlign w:val="top"/>
          </w:tcPr>
          <w:p w14:paraId="14D0402C">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1.掌握卫生法律法规的基本理论，对本学科的基本概念、基本理论；</w:t>
            </w:r>
          </w:p>
          <w:p w14:paraId="4189773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2.使学生具有法律思维、法律意识以及辩证思维，具备初步处理医护的法律问题的能力；</w:t>
            </w:r>
          </w:p>
          <w:p w14:paraId="630DE90E">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lang w:val="en-US" w:eastAsia="zh-CN"/>
              </w:rPr>
              <w:t>3.培养学生的动手能力及发现问题和分析解决问题的能力</w:t>
            </w:r>
          </w:p>
        </w:tc>
        <w:tc>
          <w:tcPr>
            <w:tcW w:w="2595" w:type="dxa"/>
            <w:vAlign w:val="top"/>
          </w:tcPr>
          <w:p w14:paraId="746B8772">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rPr>
              <w:t>卫生法律法规的概念、卫生法的渊源与体系、卫生法律法规的规范作用和社 会作用、卫生技术人员管理法律制度、医疗事故处理法律制度、传染病防治 法、献血法、药品管理法等</w:t>
            </w:r>
          </w:p>
        </w:tc>
        <w:tc>
          <w:tcPr>
            <w:tcW w:w="3283" w:type="dxa"/>
            <w:vAlign w:val="top"/>
          </w:tcPr>
          <w:p w14:paraId="5035B594">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rPr>
              <w:t>以就业岗位对从业人员法律知识的需求为核心，以法律法规为线索，遵循“必需、够用，兼顾发展”的原则，通过案例分析、法条解读、解决医疗事故纠纷等活动，构建完整严谨的思维模式，形成相应的职业能力。教学应以实际案例为载体，设计教学活动，重点突出法律知识运用的培养，同时融合相关职业资格证书的知识与技能要求，使学生通过本课程的学习，具有一定的职业法律知识储备和思维素质</w:t>
            </w:r>
          </w:p>
        </w:tc>
      </w:tr>
      <w:tr w14:paraId="35C48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3C8CFBD2">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20</w:t>
            </w:r>
          </w:p>
        </w:tc>
        <w:tc>
          <w:tcPr>
            <w:tcW w:w="1065" w:type="dxa"/>
            <w:vAlign w:val="center"/>
          </w:tcPr>
          <w:p w14:paraId="0B925F5C">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急救知识与技术</w:t>
            </w:r>
          </w:p>
        </w:tc>
        <w:tc>
          <w:tcPr>
            <w:tcW w:w="1875" w:type="dxa"/>
            <w:vAlign w:val="top"/>
          </w:tcPr>
          <w:p w14:paraId="3CC2F330">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 xml:space="preserve">1.掌握急救基础理论知识，急救技能的操作流程，了解常见急症的识别与处理；                           </w:t>
            </w:r>
          </w:p>
          <w:p w14:paraId="19309B7C">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 xml:space="preserve">2.能够准确判断病情，熟练运用急救技能，有效进行团队协作，具备急救现场管理能力；        </w:t>
            </w:r>
          </w:p>
          <w:p w14:paraId="2D8D4BD8">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lang w:val="en-US" w:eastAsia="zh-CN"/>
              </w:rPr>
              <w:t>3.培养急救意识，提高心理素质，增强社会责任感，培养终身学习的态度</w:t>
            </w:r>
          </w:p>
        </w:tc>
        <w:tc>
          <w:tcPr>
            <w:tcW w:w="2595" w:type="dxa"/>
            <w:vAlign w:val="top"/>
          </w:tcPr>
          <w:p w14:paraId="2AFC8BB7">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rPr>
              <w:t>院前急救，心肺复苏，止血、包扎、固定、搬运</w:t>
            </w:r>
          </w:p>
        </w:tc>
        <w:tc>
          <w:tcPr>
            <w:tcW w:w="3283" w:type="dxa"/>
            <w:vAlign w:val="top"/>
          </w:tcPr>
          <w:p w14:paraId="00B8E64C">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rPr>
              <w:t>理论知识掌握：学生应熟悉上述各项教学内容的理论知识，包括概念、步骤、注意事项等。实践技能操作：学生应通过实训操作，掌握心肺复苏、止血、包扎、固定、搬运等急救技能，并能正确、熟练地进行操作。安全意识培养：强调在急救过程中的安全意识，包括自我保护、避免二次伤害等。团队协作与沟通：培养学生在紧急救援中的团队协作能力和沟通技巧，确保救援工作的顺利进行</w:t>
            </w:r>
          </w:p>
        </w:tc>
      </w:tr>
      <w:tr w14:paraId="2E5E8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1DC093BF">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21</w:t>
            </w:r>
          </w:p>
        </w:tc>
        <w:tc>
          <w:tcPr>
            <w:tcW w:w="1065" w:type="dxa"/>
            <w:vAlign w:val="center"/>
          </w:tcPr>
          <w:p w14:paraId="1D5DFF9B">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普通话学习与训练</w:t>
            </w:r>
          </w:p>
        </w:tc>
        <w:tc>
          <w:tcPr>
            <w:tcW w:w="1875" w:type="dxa"/>
            <w:vAlign w:val="center"/>
          </w:tcPr>
          <w:p w14:paraId="465CB62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1.学生系统掌握普通话语音、词汇、语法等基础知识与规范，了解测试标准、流程和评分细则；</w:t>
            </w:r>
          </w:p>
          <w:p w14:paraId="0A43ED8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2.准确流利地进行朗读、说话和演讲，具备听辨和自纠错误能力，熟练掌握应试技巧并取得理想成绩；</w:t>
            </w:r>
          </w:p>
          <w:p w14:paraId="4B87238A">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3.培养热爱与重视普通话的意识，增强交流自信心和积极性；</w:t>
            </w:r>
          </w:p>
          <w:p w14:paraId="12DBAFD6">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lang w:val="en-US" w:eastAsia="zh-CN"/>
              </w:rPr>
              <w:t>4.在各类实际情境中自如运用普通话有效沟通，为从事相关职业奠定基础</w:t>
            </w:r>
          </w:p>
        </w:tc>
        <w:tc>
          <w:tcPr>
            <w:tcW w:w="2595" w:type="dxa"/>
            <w:vAlign w:val="center"/>
          </w:tcPr>
          <w:p w14:paraId="2442146F">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lang w:val="en-US" w:eastAsia="zh-CN"/>
              </w:rPr>
              <w:t>普通话语音声母、韵母、声调及音变的发音与规则。常用词汇用法，方言与普通话词汇转换。语法结构与常见错误分析。 不同体裁文章朗读技巧。主题口语表达与逻辑思维培养。听标准普通话音频辨错。按题型模拟练习，分析易错重点。普通话发展历史和文化内涵。参加推广活动和朗诵比赛</w:t>
            </w:r>
          </w:p>
        </w:tc>
        <w:tc>
          <w:tcPr>
            <w:tcW w:w="3283" w:type="dxa"/>
            <w:vAlign w:val="center"/>
          </w:tcPr>
          <w:p w14:paraId="28F86EC2">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lang w:val="en-US" w:eastAsia="zh-CN"/>
              </w:rPr>
              <w:t>教师必须具备专业的普通话水平和教学能力，能够准确示范发音，清晰讲解知识。设计丰富多样、针对性强的教学活动和练习，及时给予学生准确的反馈和指导。学生积极参与课堂活动，认真听讲，按时完成作业和练习。自我监督，养成日常使用普通话交流的习惯，不断自我纠正错误。教学资源方面配备充足的教材、音频视频资料，以及现代化的教学设备，如语音实验室等。教学方法方面采用理论与实践相结合的教学方式，注重个性化教学，满足不同学生的需求。在考核方面建立科学合理的考核评价体系，全面评估学生的普通话水平和学习效果</w:t>
            </w:r>
          </w:p>
        </w:tc>
      </w:tr>
      <w:tr w14:paraId="055B6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782DA704">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22</w:t>
            </w:r>
          </w:p>
        </w:tc>
        <w:tc>
          <w:tcPr>
            <w:tcW w:w="1065" w:type="dxa"/>
            <w:vAlign w:val="center"/>
          </w:tcPr>
          <w:p w14:paraId="286198CB">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“四</w:t>
            </w:r>
            <w:r>
              <w:rPr>
                <w:rFonts w:hint="eastAsia" w:ascii="楷体" w:hAnsi="楷体" w:eastAsia="楷体" w:cs="楷体"/>
                <w:b w:val="0"/>
                <w:bCs/>
                <w:color w:val="auto"/>
                <w:sz w:val="20"/>
                <w:szCs w:val="20"/>
              </w:rPr>
              <w:t>史</w:t>
            </w:r>
            <w:r>
              <w:rPr>
                <w:rFonts w:hint="eastAsia" w:ascii="楷体" w:hAnsi="楷体" w:eastAsia="楷体" w:cs="楷体"/>
                <w:b w:val="0"/>
                <w:bCs/>
                <w:color w:val="auto"/>
                <w:sz w:val="20"/>
                <w:szCs w:val="20"/>
                <w:lang w:val="en-US" w:eastAsia="zh-CN"/>
              </w:rPr>
              <w:t>”</w:t>
            </w:r>
            <w:r>
              <w:rPr>
                <w:rFonts w:hint="eastAsia" w:ascii="楷体" w:hAnsi="楷体" w:eastAsia="楷体" w:cs="楷体"/>
                <w:b w:val="0"/>
                <w:bCs/>
                <w:color w:val="auto"/>
                <w:sz w:val="20"/>
                <w:szCs w:val="20"/>
              </w:rPr>
              <w:t>教育</w:t>
            </w:r>
          </w:p>
        </w:tc>
        <w:tc>
          <w:tcPr>
            <w:tcW w:w="1875" w:type="dxa"/>
            <w:vAlign w:val="center"/>
          </w:tcPr>
          <w:p w14:paraId="58A90180">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1.掌握</w:t>
            </w:r>
            <w:r>
              <w:rPr>
                <w:rFonts w:hint="eastAsia" w:ascii="楷体" w:hAnsi="楷体" w:eastAsia="楷体" w:cs="楷体"/>
                <w:b w:val="0"/>
                <w:bCs/>
                <w:color w:val="auto"/>
                <w:sz w:val="20"/>
                <w:szCs w:val="20"/>
                <w:lang w:eastAsia="zh-CN"/>
              </w:rPr>
              <w:t>党史、新中国史、改革开放史、社会主义发展史</w:t>
            </w:r>
            <w:r>
              <w:rPr>
                <w:rFonts w:hint="eastAsia" w:ascii="楷体" w:hAnsi="楷体" w:eastAsia="楷体" w:cs="楷体"/>
                <w:b w:val="0"/>
                <w:bCs/>
                <w:color w:val="auto"/>
                <w:sz w:val="20"/>
                <w:szCs w:val="20"/>
              </w:rPr>
              <w:t>的基本知识，析事明理提升历史认知水平；</w:t>
            </w:r>
          </w:p>
          <w:p w14:paraId="44438520">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2.能深入了解中国共产党一百年光辉历程，深入了解中华民族从站起来、富起来到强起来的风雨历程，树立正确历史观，坚决摒弃历史虚无主义；</w:t>
            </w:r>
          </w:p>
          <w:p w14:paraId="39B940B0">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3.树立爱党、爱国、爱社会主义、爱人民、爱英雄情怀，坚定对马克思主义的信仰、对中国特色社会主义的信念、对中华民族伟大复兴中国梦的信心</w:t>
            </w:r>
          </w:p>
        </w:tc>
        <w:tc>
          <w:tcPr>
            <w:tcW w:w="2595" w:type="dxa"/>
            <w:vAlign w:val="center"/>
          </w:tcPr>
          <w:p w14:paraId="097EDE79">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主要讲授“四史”，即中国共产党党史、新中国史、改革开放史、社会主义发展史。“四史”教育要以习近平新时代中国特色社会主义思想为指导。“四史”教育要与思想政治教育相统筹，要与加强爱国主义、集体主义、社会主义教育，社会主义核心价值观教育，中华优秀传统文化和革命文化、社会主义先进文化教育，国家意识、法治意识、社会责任意识教育，民族团结进步教育、国家安全教育、科学精神教育等相结合。“四史”教育要以</w:t>
            </w:r>
            <w:r>
              <w:rPr>
                <w:rFonts w:hint="eastAsia" w:ascii="楷体" w:hAnsi="楷体" w:eastAsia="楷体" w:cs="楷体"/>
                <w:b w:val="0"/>
                <w:bCs/>
                <w:color w:val="auto"/>
                <w:sz w:val="20"/>
                <w:szCs w:val="20"/>
                <w:lang w:eastAsia="zh-CN"/>
              </w:rPr>
              <w:t>党史学习教育</w:t>
            </w:r>
            <w:r>
              <w:rPr>
                <w:rFonts w:hint="eastAsia" w:ascii="楷体" w:hAnsi="楷体" w:eastAsia="楷体" w:cs="楷体"/>
                <w:b w:val="0"/>
                <w:bCs/>
                <w:color w:val="auto"/>
                <w:sz w:val="20"/>
                <w:szCs w:val="20"/>
              </w:rPr>
              <w:t>为重点</w:t>
            </w:r>
          </w:p>
        </w:tc>
        <w:tc>
          <w:tcPr>
            <w:tcW w:w="3283" w:type="dxa"/>
            <w:vAlign w:val="center"/>
          </w:tcPr>
          <w:p w14:paraId="0ECDFC7F">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加强以</w:t>
            </w:r>
            <w:r>
              <w:rPr>
                <w:rFonts w:hint="eastAsia" w:ascii="楷体" w:hAnsi="楷体" w:eastAsia="楷体" w:cs="楷体"/>
                <w:b w:val="0"/>
                <w:bCs/>
                <w:color w:val="auto"/>
                <w:sz w:val="20"/>
                <w:szCs w:val="20"/>
                <w:lang w:eastAsia="zh-CN"/>
              </w:rPr>
              <w:t>党史学习教育</w:t>
            </w:r>
            <w:r>
              <w:rPr>
                <w:rFonts w:hint="eastAsia" w:ascii="楷体" w:hAnsi="楷体" w:eastAsia="楷体" w:cs="楷体"/>
                <w:b w:val="0"/>
                <w:bCs/>
                <w:color w:val="auto"/>
                <w:sz w:val="20"/>
                <w:szCs w:val="20"/>
              </w:rPr>
              <w:t>为重点的“四史”教育，要以习近平新时代中国特色社会主义思想为指导，全面落实立德树人根本任务。准确把握教材基本精神，充分利用媒体资源、创新方式方法，通过“周末理论大讲堂”等组织上好网络大课，创新网络教学形式。采取理论与实践结合、线上与线下结合、教师讲授与学生</w:t>
            </w:r>
            <w:r>
              <w:rPr>
                <w:rFonts w:hint="eastAsia" w:ascii="楷体" w:hAnsi="楷体" w:eastAsia="楷体" w:cs="楷体"/>
                <w:b w:val="0"/>
                <w:bCs/>
                <w:color w:val="auto"/>
                <w:sz w:val="20"/>
                <w:szCs w:val="20"/>
                <w:lang w:eastAsia="zh-CN"/>
              </w:rPr>
              <w:t>读原著、学原文、悟原理</w:t>
            </w:r>
            <w:r>
              <w:rPr>
                <w:rFonts w:hint="eastAsia" w:ascii="楷体" w:hAnsi="楷体" w:eastAsia="楷体" w:cs="楷体"/>
                <w:b w:val="0"/>
                <w:bCs/>
                <w:color w:val="auto"/>
                <w:sz w:val="20"/>
                <w:szCs w:val="20"/>
              </w:rPr>
              <w:t>结合等方式开展教学，有效提升学生的政治认同、思想认同、情感认同，真正做到“学史明理、学史增信、学史崇德、学史力行”</w:t>
            </w:r>
          </w:p>
        </w:tc>
      </w:tr>
      <w:tr w14:paraId="49BCF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6B456F2A">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23</w:t>
            </w:r>
          </w:p>
        </w:tc>
        <w:tc>
          <w:tcPr>
            <w:tcW w:w="1065" w:type="dxa"/>
            <w:vAlign w:val="center"/>
          </w:tcPr>
          <w:p w14:paraId="56D55A12">
            <w:pPr>
              <w:keepNext w:val="0"/>
              <w:keepLines w:val="0"/>
              <w:pageBreakBefore w:val="0"/>
              <w:widowControl/>
              <w:tabs>
                <w:tab w:val="left" w:pos="347"/>
              </w:tabs>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中华优秀传统文化</w:t>
            </w:r>
          </w:p>
        </w:tc>
        <w:tc>
          <w:tcPr>
            <w:tcW w:w="1875" w:type="dxa"/>
            <w:vAlign w:val="top"/>
          </w:tcPr>
          <w:p w14:paraId="77BAE501">
            <w:pPr>
              <w:keepNext w:val="0"/>
              <w:keepLines w:val="0"/>
              <w:pageBreakBefore w:val="0"/>
              <w:widowControl/>
              <w:kinsoku/>
              <w:wordWrap/>
              <w:overflowPunct/>
              <w:topLinePunct w:val="0"/>
              <w:autoSpaceDE w:val="0"/>
              <w:autoSpaceDN w:val="0"/>
              <w:bidi w:val="0"/>
              <w:adjustRightInd w:val="0"/>
              <w:snapToGrid w:val="0"/>
              <w:spacing w:line="240" w:lineRule="auto"/>
              <w:ind w:right="0" w:rightChars="0"/>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1.诵读、鉴赏中国传统优秀文学作品，感受文学作品的艺术形式，领悟其审美意蕴；</w:t>
            </w:r>
          </w:p>
          <w:p w14:paraId="2B0C58D5">
            <w:pPr>
              <w:keepNext w:val="0"/>
              <w:keepLines w:val="0"/>
              <w:pageBreakBefore w:val="0"/>
              <w:widowControl/>
              <w:kinsoku/>
              <w:wordWrap/>
              <w:overflowPunct/>
              <w:topLinePunct w:val="0"/>
              <w:autoSpaceDE w:val="0"/>
              <w:autoSpaceDN w:val="0"/>
              <w:bidi w:val="0"/>
              <w:adjustRightInd w:val="0"/>
              <w:snapToGrid w:val="0"/>
              <w:spacing w:line="240" w:lineRule="auto"/>
              <w:ind w:right="0" w:rightChars="0"/>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2.能够正确、规范地使用汉语进行书写和表达交流。为学生的专业学习和终身发展夯实基础；</w:t>
            </w:r>
          </w:p>
          <w:p w14:paraId="5C87A8A6">
            <w:pPr>
              <w:keepNext w:val="0"/>
              <w:keepLines w:val="0"/>
              <w:pageBreakBefore w:val="0"/>
              <w:widowControl/>
              <w:kinsoku/>
              <w:wordWrap/>
              <w:overflowPunct/>
              <w:topLinePunct w:val="0"/>
              <w:autoSpaceDE w:val="0"/>
              <w:autoSpaceDN w:val="0"/>
              <w:bidi w:val="0"/>
              <w:adjustRightInd w:val="0"/>
              <w:snapToGrid w:val="0"/>
              <w:spacing w:line="240" w:lineRule="auto"/>
              <w:ind w:right="0" w:rightChars="0"/>
              <w:textAlignment w:val="baseline"/>
              <w:rPr>
                <w:b w:val="0"/>
                <w:bCs/>
              </w:rPr>
            </w:pPr>
            <w:r>
              <w:rPr>
                <w:rFonts w:hint="eastAsia" w:ascii="楷体" w:hAnsi="楷体" w:eastAsia="楷体" w:cs="楷体"/>
                <w:b w:val="0"/>
                <w:bCs/>
                <w:color w:val="auto"/>
                <w:sz w:val="20"/>
                <w:szCs w:val="20"/>
                <w:lang w:val="en-US" w:eastAsia="zh-CN"/>
              </w:rPr>
              <w:t>3.增强对中华优秀传统文化的认同感和自豪感，有民族文化自信，促进学生继承并发扬传统文化，修养学生行为、重塑学生人格、提升学生文化素养</w:t>
            </w:r>
          </w:p>
        </w:tc>
        <w:tc>
          <w:tcPr>
            <w:tcW w:w="2595" w:type="dxa"/>
            <w:vAlign w:val="center"/>
          </w:tcPr>
          <w:p w14:paraId="59B3BFAB">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主要讲授国学经典，以中国传统文化的基本精神为主线，分模块，从多层次、多角度展示儒道释文化，史学、文学、音乐、绘画、书法等中国传统文化的主要内容和特色，通过朗诵、诵读和鉴赏，理解中国传统文化思想的内涵，增强文化底蕴，提升语言文字的使用规范及语言审美鉴赏力。确定中华优秀传统文化的主题内容，突出核心思想理念、中华人文精神、中华传统美德三个方面，明确每个方面的具体内涵，以此作为课程教材遴选内容的根本遵循</w:t>
            </w:r>
          </w:p>
        </w:tc>
        <w:tc>
          <w:tcPr>
            <w:tcW w:w="3283" w:type="dxa"/>
            <w:vAlign w:val="center"/>
          </w:tcPr>
          <w:p w14:paraId="0C23DD83">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rPr>
              <w:t>以落实立德树人根本任务为目的，将培育学生的学科核心素养贯穿于教学活动全过程。创新网络教学形式，利用网络平台，建设传统文化课程网站、微信公众号等平台，为学生提供更加便捷的学习方式。同时，还可以利用虚拟现实技术，将传统文化场景进行还原和展示，让学生更加深入地体验传统文化的魅力。注重理论与实践相结合，组织学生参观博物馆、文化遗址等场所，让学生更加深入地了解中华优秀传统文化的历史和内涵，领会中华优秀传统文化的精髓</w:t>
            </w:r>
          </w:p>
        </w:tc>
      </w:tr>
      <w:tr w14:paraId="1936B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278C9DB8">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24</w:t>
            </w:r>
          </w:p>
        </w:tc>
        <w:tc>
          <w:tcPr>
            <w:tcW w:w="1065" w:type="dxa"/>
            <w:vAlign w:val="center"/>
          </w:tcPr>
          <w:p w14:paraId="57D373A6">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大学</w:t>
            </w:r>
            <w:r>
              <w:rPr>
                <w:rFonts w:hint="eastAsia" w:ascii="楷体" w:hAnsi="楷体" w:eastAsia="楷体" w:cs="楷体"/>
                <w:b w:val="0"/>
                <w:bCs/>
                <w:color w:val="auto"/>
                <w:sz w:val="20"/>
                <w:szCs w:val="20"/>
              </w:rPr>
              <w:t>美育</w:t>
            </w:r>
          </w:p>
        </w:tc>
        <w:tc>
          <w:tcPr>
            <w:tcW w:w="1875" w:type="dxa"/>
            <w:vAlign w:val="top"/>
          </w:tcPr>
          <w:p w14:paraId="1558037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 xml:space="preserve">1.理解并掌握中外美术鉴赏基本理论知识，了解具象艺术：意象艺术和抽象艺术的理论知识； </w:t>
            </w:r>
          </w:p>
          <w:p w14:paraId="14A10678">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2.提高学生对美的敏锐觉察能力和感受能力、认知能力、创造能力，学会用美术语音点线面色体去观察创造形象；</w:t>
            </w:r>
          </w:p>
          <w:p w14:paraId="76710F15">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lang w:val="en-US" w:eastAsia="zh-CN"/>
              </w:rPr>
              <w:t>3.具有良好的职业道德，科学严谨的工作作风、环境保护意识</w:t>
            </w:r>
          </w:p>
        </w:tc>
        <w:tc>
          <w:tcPr>
            <w:tcW w:w="2595" w:type="dxa"/>
            <w:vAlign w:val="top"/>
          </w:tcPr>
          <w:p w14:paraId="56C0B61A">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rPr>
              <w:t>概述美育，充分挖掘和运用各学科蕴含的体现中华美与精神与民族审美特质 的心灵美、礼乐美、语言美、行为美、科学美、秩序美、健康美、勤劳美、 艺术美等丰富的美育资源，开设音乐、美术、书法、舞蹈、戏剧、戏曲、影 视、剪纸</w:t>
            </w:r>
            <w:r>
              <w:rPr>
                <w:rFonts w:hint="eastAsia" w:ascii="楷体" w:hAnsi="楷体" w:eastAsia="楷体" w:cs="楷体"/>
                <w:b w:val="0"/>
                <w:bCs/>
                <w:color w:val="auto"/>
                <w:sz w:val="20"/>
                <w:szCs w:val="20"/>
                <w:lang w:eastAsia="zh-CN"/>
              </w:rPr>
              <w:t>等</w:t>
            </w:r>
            <w:r>
              <w:rPr>
                <w:rFonts w:hint="eastAsia" w:ascii="楷体" w:hAnsi="楷体" w:eastAsia="楷体" w:cs="楷体"/>
                <w:b w:val="0"/>
                <w:bCs/>
                <w:color w:val="auto"/>
                <w:sz w:val="20"/>
                <w:szCs w:val="20"/>
              </w:rPr>
              <w:t>艺术鉴赏内容</w:t>
            </w:r>
          </w:p>
        </w:tc>
        <w:tc>
          <w:tcPr>
            <w:tcW w:w="3283" w:type="dxa"/>
            <w:vAlign w:val="top"/>
          </w:tcPr>
          <w:p w14:paraId="26BE8667">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rPr>
              <w:t>授课时充分运用现代化音像手段，在教学过程中播放图片、音频和视频等资料，做到直观、形象、深刻</w:t>
            </w:r>
            <w:r>
              <w:rPr>
                <w:rFonts w:hint="eastAsia" w:ascii="楷体" w:hAnsi="楷体" w:eastAsia="楷体" w:cs="楷体"/>
                <w:b w:val="0"/>
                <w:bCs/>
                <w:color w:val="auto"/>
                <w:sz w:val="20"/>
                <w:szCs w:val="20"/>
                <w:lang w:eastAsia="zh-CN"/>
              </w:rPr>
              <w:t>；在</w:t>
            </w:r>
            <w:r>
              <w:rPr>
                <w:rFonts w:hint="eastAsia" w:ascii="楷体" w:hAnsi="楷体" w:eastAsia="楷体" w:cs="楷体"/>
                <w:b w:val="0"/>
                <w:bCs/>
                <w:color w:val="auto"/>
                <w:sz w:val="20"/>
                <w:szCs w:val="20"/>
              </w:rPr>
              <w:t>审美实践环节可根据条件适当安排观赏演出、参观展览、分析文学或影视作品等活动，使课堂教学上的理论讲授能通过学生的审美实践得到进一步的理解和掌握；另外要鼓励学生课下善于发现美、课上积极交流美，并给学生提供创造美和展示美的平台</w:t>
            </w:r>
          </w:p>
        </w:tc>
      </w:tr>
      <w:tr w14:paraId="48613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031E6F39">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25</w:t>
            </w:r>
          </w:p>
        </w:tc>
        <w:tc>
          <w:tcPr>
            <w:tcW w:w="1065" w:type="dxa"/>
            <w:vAlign w:val="center"/>
          </w:tcPr>
          <w:p w14:paraId="034073E4">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职业素养</w:t>
            </w:r>
          </w:p>
        </w:tc>
        <w:tc>
          <w:tcPr>
            <w:tcW w:w="1875" w:type="dxa"/>
            <w:vAlign w:val="top"/>
          </w:tcPr>
          <w:p w14:paraId="3919E4FA">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1.掌握职业人文基础知识，理解职业通用能力在职业发展中的重要性，认识基本方法；</w:t>
            </w:r>
          </w:p>
          <w:p w14:paraId="780DE47F">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2.能通过系统学习提升交流沟通、团队协作、自我管理、社会适应性等职业通用能力；</w:t>
            </w:r>
          </w:p>
          <w:p w14:paraId="4456455D">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lang w:val="en-US" w:eastAsia="zh-CN"/>
              </w:rPr>
              <w:t>3.培养学生终身学习理念，帮助学生拥有良好的职业态度和职业热情</w:t>
            </w:r>
          </w:p>
        </w:tc>
        <w:tc>
          <w:tcPr>
            <w:tcW w:w="2595" w:type="dxa"/>
            <w:vAlign w:val="top"/>
          </w:tcPr>
          <w:p w14:paraId="03816BFB">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rPr>
              <w:t>概述职业价值观、职业道德、职业礼仪、职业沟通、职场协助、情绪沟通、 时间管理等模块内容</w:t>
            </w:r>
          </w:p>
        </w:tc>
        <w:tc>
          <w:tcPr>
            <w:tcW w:w="3283" w:type="dxa"/>
            <w:vAlign w:val="top"/>
          </w:tcPr>
          <w:p w14:paraId="35D5EFF1">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rPr>
              <w:t>本课程理论与实践并重，侧重学生未来发展中可迁移技能的培养，讲授需结合案例分析、小组讨论、师生互动、角色扮演、社会调查等方法，针对学生的生涯发展需要，关注学生创新创业意识的培养，促成学生能力模型构建，助力学生就业、创业及个人生涯发展，培养学生的职场心态和综合技能、提高就业创业竞争力，促进学生从“校园人”向“职业人”转变</w:t>
            </w:r>
          </w:p>
        </w:tc>
      </w:tr>
      <w:tr w14:paraId="352C2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7BEA08B4">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26</w:t>
            </w:r>
          </w:p>
        </w:tc>
        <w:tc>
          <w:tcPr>
            <w:tcW w:w="1065" w:type="dxa"/>
            <w:vAlign w:val="center"/>
          </w:tcPr>
          <w:p w14:paraId="62DD2219">
            <w:pPr>
              <w:keepNext w:val="0"/>
              <w:keepLines w:val="0"/>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lang w:val="en-US" w:eastAsia="zh-CN"/>
              </w:rPr>
              <w:t>健康教育</w:t>
            </w:r>
          </w:p>
        </w:tc>
        <w:tc>
          <w:tcPr>
            <w:tcW w:w="1875" w:type="dxa"/>
            <w:vAlign w:val="top"/>
          </w:tcPr>
          <w:p w14:paraId="0C5D6B35">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1.掌握大学生常见疾病、常见传染性疾病以及急救处理等基本知识、健康的生活方式；</w:t>
            </w:r>
          </w:p>
          <w:p w14:paraId="4D2E4118">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2.能运用健康教育知识尊重健康的价值和意义，增强维护自身健康的责任感和自觉性，提高自我保健和预防疾病的能力；</w:t>
            </w:r>
          </w:p>
          <w:p w14:paraId="7B8343E5">
            <w:pPr>
              <w:keepNext w:val="0"/>
              <w:keepLines w:val="0"/>
              <w:pageBreakBefore w:val="0"/>
              <w:widowControl/>
              <w:kinsoku/>
              <w:wordWrap/>
              <w:overflowPunct/>
              <w:topLinePunct w:val="0"/>
              <w:autoSpaceDE w:val="0"/>
              <w:autoSpaceDN w:val="0"/>
              <w:bidi w:val="0"/>
              <w:adjustRightInd w:val="0"/>
              <w:snapToGrid w:val="0"/>
              <w:jc w:val="both"/>
              <w:textAlignment w:val="baseline"/>
              <w:rPr>
                <w:b w:val="0"/>
                <w:bCs/>
              </w:rPr>
            </w:pPr>
            <w:r>
              <w:rPr>
                <w:rFonts w:hint="eastAsia" w:ascii="楷体" w:hAnsi="楷体" w:eastAsia="楷体" w:cs="楷体"/>
                <w:b w:val="0"/>
                <w:bCs/>
                <w:color w:val="auto"/>
                <w:sz w:val="20"/>
                <w:szCs w:val="20"/>
                <w:lang w:val="en-US" w:eastAsia="zh-CN"/>
              </w:rPr>
              <w:t>3.树立自觉选择健康的行为和生活方式，消除或减少危险因素的影响，从而促进身心健康改善生活质量</w:t>
            </w:r>
          </w:p>
        </w:tc>
        <w:tc>
          <w:tcPr>
            <w:tcW w:w="2595" w:type="dxa"/>
            <w:vAlign w:val="top"/>
          </w:tcPr>
          <w:p w14:paraId="55226837">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rPr>
              <w:t>针对大学生开展健康教育，通过健康教育基本知识、基本理论的学习，使学生树立正确的健康价值观，养成健康行为和良好生活方式，消除或减轻影响健康的危险因素，预防疾病，促进健康。内容包括人体基本结构和功能；生活方式与健康；常见疾病的预防；意外伤害与急救；心理健康教育；专题健康教育</w:t>
            </w:r>
          </w:p>
        </w:tc>
        <w:tc>
          <w:tcPr>
            <w:tcW w:w="3283" w:type="dxa"/>
            <w:vAlign w:val="top"/>
          </w:tcPr>
          <w:p w14:paraId="0224C0F6">
            <w:pPr>
              <w:keepNext w:val="0"/>
              <w:keepLines w:val="0"/>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rPr>
              <w:t>大学生是社会主义的建设者，是现在的主体，他们正处于大量吸取知识和技能的阶段，重点普及学生健康生活方式，提高大学生的身心素质。以生活案例为辅，教材为主相结合，提升学生的学习兴趣，增加学生的知识内容，拓宽学生视野，引导学生能够正确</w:t>
            </w:r>
            <w:r>
              <w:rPr>
                <w:rFonts w:hint="eastAsia" w:ascii="楷体" w:hAnsi="楷体" w:eastAsia="楷体" w:cs="楷体"/>
                <w:b w:val="0"/>
                <w:bCs/>
                <w:color w:val="auto"/>
                <w:sz w:val="20"/>
                <w:szCs w:val="20"/>
                <w:lang w:eastAsia="zh-CN"/>
              </w:rPr>
              <w:t>地</w:t>
            </w:r>
            <w:r>
              <w:rPr>
                <w:rFonts w:hint="eastAsia" w:ascii="楷体" w:hAnsi="楷体" w:eastAsia="楷体" w:cs="楷体"/>
                <w:b w:val="0"/>
                <w:bCs/>
                <w:color w:val="auto"/>
                <w:sz w:val="20"/>
                <w:szCs w:val="20"/>
              </w:rPr>
              <w:t>进行健康教育和行为管理，指导学生正确认识和理解生命安全的意义及价值。掌握预防疾病的基本知识、方法和适宜技能，维护其身心健康</w:t>
            </w:r>
          </w:p>
        </w:tc>
      </w:tr>
      <w:tr w14:paraId="06483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06D4A88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楷体" w:hAnsi="楷体" w:eastAsia="楷体" w:cs="楷体"/>
                <w:b w:val="0"/>
                <w:bCs/>
                <w:i w:val="0"/>
                <w:iCs w:val="0"/>
                <w:color w:val="auto"/>
                <w:sz w:val="20"/>
                <w:szCs w:val="20"/>
                <w:lang w:val="en-US" w:eastAsia="zh-CN"/>
              </w:rPr>
            </w:pPr>
            <w:r>
              <w:rPr>
                <w:rFonts w:hint="eastAsia" w:ascii="楷体" w:hAnsi="楷体" w:eastAsia="楷体" w:cs="楷体"/>
                <w:b w:val="0"/>
                <w:bCs/>
                <w:i w:val="0"/>
                <w:iCs w:val="0"/>
                <w:color w:val="auto"/>
                <w:sz w:val="20"/>
                <w:szCs w:val="20"/>
                <w:lang w:val="en-US" w:eastAsia="zh-CN"/>
              </w:rPr>
              <w:t>27</w:t>
            </w:r>
          </w:p>
        </w:tc>
        <w:tc>
          <w:tcPr>
            <w:tcW w:w="1065" w:type="dxa"/>
            <w:vAlign w:val="center"/>
          </w:tcPr>
          <w:p w14:paraId="3EB35B41">
            <w:pPr>
              <w:keepNext w:val="0"/>
              <w:keepLines w:val="0"/>
              <w:pageBreakBefore w:val="0"/>
              <w:kinsoku/>
              <w:wordWrap/>
              <w:topLinePunct w:val="0"/>
              <w:bidi w:val="0"/>
              <w:jc w:val="center"/>
              <w:rPr>
                <w:rFonts w:hint="default" w:ascii="楷体" w:hAnsi="楷体" w:eastAsia="楷体" w:cs="楷体"/>
                <w:b w:val="0"/>
                <w:bCs/>
                <w:i w:val="0"/>
                <w:iCs w:val="0"/>
                <w:color w:val="auto"/>
                <w:sz w:val="20"/>
                <w:szCs w:val="20"/>
                <w:lang w:val="en-US" w:eastAsia="zh-CN"/>
              </w:rPr>
            </w:pPr>
            <w:r>
              <w:rPr>
                <w:rFonts w:hint="default" w:ascii="Times New Roman" w:hAnsi="Times New Roman" w:eastAsia="楷体" w:cs="Times New Roman"/>
                <w:b w:val="0"/>
                <w:bCs/>
                <w:color w:val="auto"/>
                <w:sz w:val="20"/>
                <w:szCs w:val="20"/>
                <w:lang w:val="en-US" w:eastAsia="zh-CN"/>
              </w:rPr>
              <w:t>数智化</w:t>
            </w:r>
          </w:p>
        </w:tc>
        <w:tc>
          <w:tcPr>
            <w:tcW w:w="1875" w:type="dxa"/>
            <w:vAlign w:val="top"/>
          </w:tcPr>
          <w:p w14:paraId="3FA6972C">
            <w:pPr>
              <w:keepNext w:val="0"/>
              <w:keepLines w:val="0"/>
              <w:pageBreakBefore w:val="0"/>
              <w:numPr>
                <w:ilvl w:val="0"/>
                <w:numId w:val="1"/>
              </w:numPr>
              <w:kinsoku/>
              <w:wordWrap/>
              <w:topLinePunct w:val="0"/>
              <w:bidi w:val="0"/>
              <w:jc w:val="left"/>
              <w:rPr>
                <w:rFonts w:hint="default" w:ascii="Times New Roman" w:hAnsi="Times New Roman" w:eastAsia="楷体" w:cs="Times New Roman"/>
                <w:b w:val="0"/>
                <w:bCs/>
                <w:color w:val="auto"/>
                <w:sz w:val="20"/>
                <w:szCs w:val="20"/>
                <w:lang w:val="en-US" w:eastAsia="zh-CN"/>
              </w:rPr>
            </w:pPr>
            <w:r>
              <w:rPr>
                <w:rFonts w:hint="default" w:ascii="Times New Roman" w:hAnsi="Times New Roman" w:eastAsia="楷体" w:cs="Times New Roman"/>
                <w:b w:val="0"/>
                <w:bCs/>
                <w:color w:val="auto"/>
                <w:sz w:val="20"/>
                <w:szCs w:val="20"/>
                <w:lang w:val="en-US" w:eastAsia="zh-CN"/>
              </w:rPr>
              <w:t>掌握基础数智知识、熟练常用数字工具、树立安全规范的数字理念、具备初步智能创新能力</w:t>
            </w:r>
          </w:p>
          <w:p w14:paraId="2E2539B1">
            <w:pPr>
              <w:keepNext w:val="0"/>
              <w:keepLines w:val="0"/>
              <w:pageBreakBefore w:val="0"/>
              <w:numPr>
                <w:ilvl w:val="0"/>
                <w:numId w:val="1"/>
              </w:numPr>
              <w:kinsoku/>
              <w:wordWrap/>
              <w:topLinePunct w:val="0"/>
              <w:bidi w:val="0"/>
              <w:jc w:val="left"/>
              <w:rPr>
                <w:rFonts w:hint="eastAsia" w:ascii="楷体" w:hAnsi="楷体" w:eastAsia="楷体" w:cs="楷体"/>
                <w:b w:val="0"/>
                <w:bCs/>
                <w:i w:val="0"/>
                <w:iCs w:val="0"/>
                <w:color w:val="auto"/>
                <w:sz w:val="20"/>
                <w:szCs w:val="20"/>
                <w:lang w:val="en-US" w:eastAsia="zh-CN"/>
              </w:rPr>
            </w:pPr>
            <w:r>
              <w:rPr>
                <w:rFonts w:hint="default" w:ascii="Times New Roman" w:hAnsi="Times New Roman" w:eastAsia="楷体" w:cs="Times New Roman"/>
                <w:b w:val="0"/>
                <w:bCs/>
                <w:color w:val="auto"/>
                <w:sz w:val="20"/>
                <w:szCs w:val="20"/>
                <w:lang w:val="en-US" w:eastAsia="zh-CN"/>
              </w:rPr>
              <w:t>全面提升学生数字时代核心竞争力，为学生适应未来学习、生活与发展奠定坚实基础。</w:t>
            </w:r>
          </w:p>
        </w:tc>
        <w:tc>
          <w:tcPr>
            <w:tcW w:w="2595" w:type="dxa"/>
            <w:vAlign w:val="top"/>
          </w:tcPr>
          <w:p w14:paraId="31C12910">
            <w:pPr>
              <w:keepNext w:val="0"/>
              <w:keepLines w:val="0"/>
              <w:pageBreakBefore w:val="0"/>
              <w:kinsoku/>
              <w:wordWrap/>
              <w:topLinePunct w:val="0"/>
              <w:bidi w:val="0"/>
              <w:jc w:val="left"/>
              <w:rPr>
                <w:rFonts w:hint="default" w:ascii="楷体" w:hAnsi="楷体" w:eastAsia="楷体" w:cs="楷体"/>
                <w:b w:val="0"/>
                <w:bCs/>
                <w:i w:val="0"/>
                <w:iCs w:val="0"/>
                <w:color w:val="auto"/>
                <w:sz w:val="20"/>
                <w:szCs w:val="20"/>
                <w:lang w:val="en-US" w:eastAsia="zh-CN"/>
              </w:rPr>
            </w:pPr>
            <w:r>
              <w:rPr>
                <w:rFonts w:hint="default" w:ascii="Times New Roman" w:hAnsi="Times New Roman" w:eastAsia="楷体" w:cs="Times New Roman"/>
                <w:b w:val="0"/>
                <w:bCs/>
                <w:color w:val="auto"/>
                <w:sz w:val="20"/>
                <w:szCs w:val="20"/>
              </w:rPr>
              <w:t>围绕数智化基础认知、数字工具实操、数智思维创新、数字安全素养四大模块展开。基础模块普及大数据、人工智能等数智技术概念与生活应用；实操模块重点讲解办公工具、数据处理、多媒体创作及智慧学习平台的使用方法，强化实用技能。思维模块通过趣味算法、图形化编程、智能设备体验，培养学生逻辑思维与创新实践能力。素养模块聚焦网络信息辨别、个人隐私保护、网络伦理规范，引导学生文明、安全、合规使用数字技术，全方位提升学生数字综合素养。</w:t>
            </w:r>
          </w:p>
        </w:tc>
        <w:tc>
          <w:tcPr>
            <w:tcW w:w="3283" w:type="dxa"/>
            <w:vAlign w:val="top"/>
          </w:tcPr>
          <w:p w14:paraId="404C9166">
            <w:pPr>
              <w:keepNext w:val="0"/>
              <w:keepLines w:val="0"/>
              <w:pageBreakBefore w:val="0"/>
              <w:kinsoku/>
              <w:wordWrap/>
              <w:topLinePunct w:val="0"/>
              <w:bidi w:val="0"/>
              <w:jc w:val="left"/>
              <w:rPr>
                <w:rFonts w:hint="eastAsia" w:ascii="楷体" w:hAnsi="楷体" w:eastAsia="楷体" w:cs="楷体"/>
                <w:b w:val="0"/>
                <w:bCs/>
                <w:i w:val="0"/>
                <w:iCs w:val="0"/>
                <w:color w:val="auto"/>
                <w:sz w:val="20"/>
                <w:szCs w:val="20"/>
              </w:rPr>
            </w:pPr>
            <w:r>
              <w:rPr>
                <w:rFonts w:hint="default" w:ascii="Times New Roman" w:hAnsi="Times New Roman" w:eastAsia="楷体" w:cs="Times New Roman"/>
                <w:b w:val="0"/>
                <w:bCs/>
                <w:color w:val="auto"/>
                <w:sz w:val="20"/>
                <w:szCs w:val="20"/>
              </w:rPr>
              <w:t>贴合学生学情，采用案例教学、实操演练、项目实践等多元模式教学，保障课堂实操时长，针对性指导学生解决操作问题，同步渗透数字素养教育。学生需认真参与课堂学习与实操训练，按时完成创意及实践作业，严守机房设备与网络使用规范。教学落实因材施教，实施分层辅导，摒弃单一应试考核，结合课堂表现、实操成果、创新作品、综合素质开展多元化综合评价，切实落实课程育人目标</w:t>
            </w:r>
            <w:r>
              <w:rPr>
                <w:rFonts w:hint="default" w:ascii="Times New Roman" w:hAnsi="Times New Roman" w:eastAsia="楷体" w:cs="Times New Roman"/>
                <w:b w:val="0"/>
                <w:bCs/>
                <w:color w:val="auto"/>
                <w:sz w:val="20"/>
                <w:szCs w:val="20"/>
                <w:lang w:eastAsia="zh-CN"/>
              </w:rPr>
              <w:t>。</w:t>
            </w:r>
          </w:p>
        </w:tc>
      </w:tr>
    </w:tbl>
    <w:p w14:paraId="2BB095C8">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r>
        <w:t>（二）专业课程</w:t>
      </w:r>
      <w:bookmarkEnd w:id="21"/>
      <w:bookmarkEnd w:id="22"/>
    </w:p>
    <w:p w14:paraId="72716687">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50" w:line="240" w:lineRule="auto"/>
        <w:ind w:firstLine="622" w:firstLineChars="200"/>
        <w:textAlignment w:val="baseline"/>
        <w:rPr>
          <w:b/>
          <w:bCs/>
          <w:spacing w:val="-3"/>
        </w:rPr>
      </w:pPr>
      <w:r>
        <w:rPr>
          <w:rFonts w:hint="eastAsia"/>
          <w:b/>
          <w:bCs/>
          <w:lang w:val="en-US" w:eastAsia="zh-CN"/>
        </w:rPr>
        <w:t>1.专业基础课</w:t>
      </w:r>
    </w:p>
    <w:p w14:paraId="201F6A0A">
      <w:pPr>
        <w:spacing w:line="38" w:lineRule="auto"/>
        <w:rPr>
          <w:rFonts w:ascii="Arial"/>
          <w:sz w:val="2"/>
        </w:rPr>
      </w:pPr>
    </w:p>
    <w:p w14:paraId="146E4D9F">
      <w:pPr>
        <w:spacing w:line="38" w:lineRule="auto"/>
        <w:rPr>
          <w:rFonts w:ascii="Arial"/>
          <w:sz w:val="2"/>
        </w:rPr>
      </w:pPr>
    </w:p>
    <w:tbl>
      <w:tblPr>
        <w:tblStyle w:val="13"/>
        <w:tblW w:w="94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1065"/>
        <w:gridCol w:w="1875"/>
        <w:gridCol w:w="2595"/>
        <w:gridCol w:w="3291"/>
      </w:tblGrid>
      <w:tr w14:paraId="63D71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622" w:type="dxa"/>
            <w:vAlign w:val="center"/>
          </w:tcPr>
          <w:p w14:paraId="1D043ED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序号</w:t>
            </w:r>
          </w:p>
        </w:tc>
        <w:tc>
          <w:tcPr>
            <w:tcW w:w="1065" w:type="dxa"/>
            <w:vAlign w:val="center"/>
          </w:tcPr>
          <w:p w14:paraId="67F47C3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课程名称</w:t>
            </w:r>
          </w:p>
        </w:tc>
        <w:tc>
          <w:tcPr>
            <w:tcW w:w="1875" w:type="dxa"/>
            <w:vAlign w:val="center"/>
          </w:tcPr>
          <w:p w14:paraId="2CF797A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课程目标</w:t>
            </w:r>
          </w:p>
        </w:tc>
        <w:tc>
          <w:tcPr>
            <w:tcW w:w="2595" w:type="dxa"/>
            <w:vAlign w:val="center"/>
          </w:tcPr>
          <w:p w14:paraId="262F99E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教学内容</w:t>
            </w:r>
          </w:p>
        </w:tc>
        <w:tc>
          <w:tcPr>
            <w:tcW w:w="3291" w:type="dxa"/>
            <w:vAlign w:val="center"/>
          </w:tcPr>
          <w:p w14:paraId="0071C0C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教学要求</w:t>
            </w:r>
          </w:p>
        </w:tc>
      </w:tr>
      <w:tr w14:paraId="0D637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39749692">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w:t>
            </w:r>
          </w:p>
        </w:tc>
        <w:tc>
          <w:tcPr>
            <w:tcW w:w="1065" w:type="dxa"/>
            <w:vAlign w:val="center"/>
          </w:tcPr>
          <w:p w14:paraId="69729390">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人体解剖</w:t>
            </w:r>
          </w:p>
          <w:p w14:paraId="4F74360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生理学</w:t>
            </w:r>
          </w:p>
        </w:tc>
        <w:tc>
          <w:tcPr>
            <w:tcW w:w="1875" w:type="dxa"/>
            <w:vAlign w:val="top"/>
          </w:tcPr>
          <w:p w14:paraId="31993108">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掌握人体解剖学、组织学与生理学的基本概念，正常人体各系统的器官组成、主要器官的形态结构、位置与毗邻、组织结构和生理功能。能运用解剖学术语描述人体各组成部分的位置与形态结构，运用所学知识分析和解释相关临床问题；培养学生关爱生命、关注健康和关注疾病的意识，善于观察与分析、严谨求实的工作态度</w:t>
            </w:r>
          </w:p>
        </w:tc>
        <w:tc>
          <w:tcPr>
            <w:tcW w:w="2595" w:type="dxa"/>
            <w:vAlign w:val="top"/>
          </w:tcPr>
          <w:p w14:paraId="287F227F">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人体解剖生理学概述，生命的基本特征，机体与环境，人体功能活动的调节，细胞的基本功能和生物电现象，人体基本组织；运动系统、消化系统、呼吸系统、泌尿系统、生殖系统、感觉器、脉管系统、神经系统、内分泌系统的器官组成、形态结构、毗邻关系及组织结构和生理功能</w:t>
            </w:r>
          </w:p>
        </w:tc>
        <w:tc>
          <w:tcPr>
            <w:tcW w:w="3291" w:type="dxa"/>
            <w:vAlign w:val="top"/>
          </w:tcPr>
          <w:p w14:paraId="65EC44EF">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理论教学以多媒体讲授为主，运用视频、动画、图片演示等手段，利用真实标本和虚拟仿真实验平台全面了解人体各系统主要器官的形态结构特征和生理机能，学会从不同研究水平理解人体的各种生理功能，理解内、外环境变化对人体功能活动的影响及功能活动的调节</w:t>
            </w:r>
          </w:p>
        </w:tc>
      </w:tr>
      <w:tr w14:paraId="6B0AF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48D4E2AD">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4D3D852F">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1BBBB7E3">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23DD423C">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2EDB916D">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3BA0E178">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4DE5A2F1">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2C4A21C2">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25107F51">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7AD97B65">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3836F851">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3BB0C142">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21D9D5F2">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147D97B9">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68CB4899">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w:t>
            </w:r>
          </w:p>
        </w:tc>
        <w:tc>
          <w:tcPr>
            <w:tcW w:w="1065" w:type="dxa"/>
            <w:vAlign w:val="center"/>
          </w:tcPr>
          <w:p w14:paraId="0F268BF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5CCFDA6D">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2084B72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242BD65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4497736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3AA61F95">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297110A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1772D4F9">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51F5372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4D0130E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病原生物与免疫学</w:t>
            </w:r>
          </w:p>
        </w:tc>
        <w:tc>
          <w:tcPr>
            <w:tcW w:w="1875" w:type="dxa"/>
            <w:vAlign w:val="top"/>
          </w:tcPr>
          <w:p w14:paraId="644BDB70">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1.掌握免疫学的基本概念和基本理论，临床常见病原生物的种类和主要生物学性状，熟悉临床常见的免疫现象、免疫相关疾病的发病机制，常见病原生物的致病性、传播途径和防治原则。</w:t>
            </w:r>
          </w:p>
          <w:p w14:paraId="3EFA86A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2.牢固树立无菌观念，增强生物安全意识，能够初步辨认常见病原生物的形态特征，将所学病原生物与免疫学知识应用于疾病的诊断、预防和治疗中。</w:t>
            </w:r>
          </w:p>
          <w:p w14:paraId="49C1024D">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3.培养学生具有严谨求实的工作态度，良好的职业道德和不畏艰苦的学习意志，为学习临床相关免疫性疾病和感染性疾病奠定基础</w:t>
            </w:r>
          </w:p>
        </w:tc>
        <w:tc>
          <w:tcPr>
            <w:tcW w:w="2595" w:type="dxa"/>
            <w:vAlign w:val="top"/>
          </w:tcPr>
          <w:p w14:paraId="59AE838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免疫系统的组成与功能，免疫应答发生与发展的规律，免疫相关疾病的发病机制，免疫学理论在疾病诊断及防治中的应用；常见病原微生物和医学寄生虫的生物学特性、致病性与免疫性，以及相关感染性疾病的病原学检测方法及防治原则</w:t>
            </w:r>
          </w:p>
        </w:tc>
        <w:tc>
          <w:tcPr>
            <w:tcW w:w="3291" w:type="dxa"/>
            <w:vAlign w:val="top"/>
          </w:tcPr>
          <w:p w14:paraId="545BC1F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采用多种教学方法综合利用，理实一体、知识层面递进式培养，突出病原生物与免疫相关的知识特点，减少知识的抽象性，多采用图片、多媒体等直观教学的形式，增加学生的感性认识，提高课堂教学效果；采用理论授课和社区实践相结合的方法，把传授知识和培养实践能力结合起来，充分发挥学生学习的主动性和创造性，培养学生分析问题和解决问题的能力</w:t>
            </w:r>
          </w:p>
        </w:tc>
      </w:tr>
      <w:tr w14:paraId="0DFD5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654CCB5D">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342E1830">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24AF39BA">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21BF6366">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3A5FEE95">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4E63A2C1">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225409BF">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6F52545A">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72434E1C">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4CD4AAA5">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16A2EDCB">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4768662E">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729184AB">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3</w:t>
            </w:r>
          </w:p>
        </w:tc>
        <w:tc>
          <w:tcPr>
            <w:tcW w:w="1065" w:type="dxa"/>
            <w:vAlign w:val="center"/>
          </w:tcPr>
          <w:p w14:paraId="0E0137B9">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28A3948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6A46092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226AC49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68BAAF7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29898A2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2AA378E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7A16A7C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6FD3A2D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43C7D91D">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临床医学概论</w:t>
            </w:r>
          </w:p>
        </w:tc>
        <w:tc>
          <w:tcPr>
            <w:tcW w:w="1875" w:type="dxa"/>
            <w:vAlign w:val="center"/>
          </w:tcPr>
          <w:p w14:paraId="7EE394DC">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知识目标：掌握基层常见病、多发病的概念、临床特点、治疗原则，药物治疗要点；常见症状的发生机理和临床意义，并学会问诊的方法。掌握检体诊断的基本理论和基本方法，以及典型体征的发生机理与临床意义。</w:t>
            </w:r>
          </w:p>
          <w:p w14:paraId="5972717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2.能力目标：会对患者进行正确的问诊；了解对各方面临床资料进行综合、分析的方法，在教学过程中，学生能够独立判断病情。</w:t>
            </w:r>
          </w:p>
          <w:p w14:paraId="42CBDCF0">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3.素质教育目标：热爱本职工作，敬业、创业，并具有辩证思维的能力。培养救死扶伤、全心全意为人民服务的职业道德素质，具有尊重患者、关爱生命的人文精神</w:t>
            </w:r>
          </w:p>
        </w:tc>
        <w:tc>
          <w:tcPr>
            <w:tcW w:w="2595" w:type="dxa"/>
            <w:vAlign w:val="center"/>
          </w:tcPr>
          <w:p w14:paraId="5F2D1DE5">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主要介绍临床常见病、多发病的病因、发病机理、临床表现、诊断及治疗原则，重点介绍与本专业密切相关的临床疾病知识。通过本课程的教育，使学生在结合本专业特点的基础上，能够掌握一定的临床医学基本理论、基本知识、基本技能，在全面了解临床医学各疾病的概述和诊疗常规中，去发现临床的需求，去思考解决的途径和方法，为其他学科与临床医学的交叉渗透提供结合本专业的各种信息及相关知识，从而为今后的专业学习、工作奠定基础，拓宽思路，相互促进，形成良性互动</w:t>
            </w:r>
          </w:p>
        </w:tc>
        <w:tc>
          <w:tcPr>
            <w:tcW w:w="3291" w:type="dxa"/>
            <w:vAlign w:val="center"/>
          </w:tcPr>
          <w:p w14:paraId="4193CF2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本着“贴近学情、符合行情、对接岗位”的原则，坚持“必需、够用、实用”为度、适度拓展知识面提升可持续发展能力的原则，在校企合作的基础上，科学设计课程，合理选取教学内容。重点掌握心血管疾病、脑血管疾病、呼吸系统疾病、消化系统疾病、内分泌系统疾病、神经系统、运动系统常见疾病的主要症状、体征和诊断方法，构建诊断思维模式，为后续专业课程学习奠定基础。充分利用智慧职教平台及其他网络优质教学资源，采用线上线下混合式教学模式，着力培养学生的临床思维能力、应用能力和学习能力。线上课堂在课前引导学生预习知识，课中发起讨论和头脑风暴，课后巩固和拓展知识；实践课堂重在引导学生内化知识和技能训练。配备专门的教学团队，主要采用案例教学法、情景教学法、问题启发式等多种教学方法和手段，提高学生对疾病基本知识的掌握</w:t>
            </w:r>
          </w:p>
        </w:tc>
      </w:tr>
      <w:tr w14:paraId="3496B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3D09D713">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4</w:t>
            </w:r>
          </w:p>
        </w:tc>
        <w:tc>
          <w:tcPr>
            <w:tcW w:w="1065" w:type="dxa"/>
            <w:vAlign w:val="center"/>
          </w:tcPr>
          <w:p w14:paraId="7D56CA7C">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口腔基础医学概要</w:t>
            </w:r>
          </w:p>
        </w:tc>
        <w:tc>
          <w:tcPr>
            <w:tcW w:w="1875" w:type="dxa"/>
            <w:vAlign w:val="top"/>
          </w:tcPr>
          <w:p w14:paraId="393BCCC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通过本课程的学习，要求学生掌握牙体解剖学的基本理论、基本知识，以及口腔颌面颈部局部解剖基本知识；了解并掌握牙体牙周组织、口腔黏膜的组织结构，口腔颌面部及牙体牙周组织的发育过程，龋病及主要由其引起的一些疾病、牙周组织病、常见口腔黏膜病的病因、发病机制及病理变化等内容；学会口腔医学技术的基本技能，为专业学习奠定基础</w:t>
            </w:r>
          </w:p>
        </w:tc>
        <w:tc>
          <w:tcPr>
            <w:tcW w:w="2595" w:type="dxa"/>
            <w:vAlign w:val="top"/>
          </w:tcPr>
          <w:p w14:paraId="72965D7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牙体解剖、牙列、牙合和颌位；口腔生理功能；运动系统、脉管及神经解剖，口腔颌面局部解剖；牙体雕刻技术；牙体组织、牙周组织、口腔黏膜的理化特性和组织结构；牙的发育组织特点；牙齿发育异常、龋齿、牙髓病、根尖周病的组织病理变化；牙周组织疾病、口腔黏膜疾病的病理变化等</w:t>
            </w:r>
          </w:p>
          <w:p w14:paraId="7BD69D0F">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tc>
        <w:tc>
          <w:tcPr>
            <w:tcW w:w="3291" w:type="dxa"/>
            <w:vAlign w:val="top"/>
          </w:tcPr>
          <w:p w14:paraId="7329997D">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学生能够独立完成牙体雕刻，在传授口腔基础医学概要知识的同时，渗透良好的综合素质和崇高的职业道德素质的养成教育。巩固职业价值观，积累一定的人文社会科学知识，培育良好的综合职业素质</w:t>
            </w:r>
          </w:p>
        </w:tc>
      </w:tr>
      <w:tr w14:paraId="7CA16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53268B7A">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2C1E76B5">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5</w:t>
            </w:r>
          </w:p>
        </w:tc>
        <w:tc>
          <w:tcPr>
            <w:tcW w:w="1065" w:type="dxa"/>
            <w:vAlign w:val="center"/>
          </w:tcPr>
          <w:p w14:paraId="08379FC4">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2EC6B424">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美学基础（含牙体素描基础）</w:t>
            </w:r>
          </w:p>
        </w:tc>
        <w:tc>
          <w:tcPr>
            <w:tcW w:w="1875" w:type="dxa"/>
            <w:vAlign w:val="top"/>
          </w:tcPr>
          <w:p w14:paraId="650D717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通过本课程的学习，掌握美学基本理论、要素；熟悉基础素描的构图、比例、透视关系；学会牙体的素描</w:t>
            </w:r>
          </w:p>
        </w:tc>
        <w:tc>
          <w:tcPr>
            <w:tcW w:w="2595" w:type="dxa"/>
            <w:vAlign w:val="top"/>
          </w:tcPr>
          <w:p w14:paraId="5BD6D15A">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素描的分类；物体的明暗规律；素描构图；素描的姿势及运笔；石膏几何体的写生；牙体素描；牙体的素描写生</w:t>
            </w:r>
          </w:p>
        </w:tc>
        <w:tc>
          <w:tcPr>
            <w:tcW w:w="3291" w:type="dxa"/>
            <w:vAlign w:val="top"/>
          </w:tcPr>
          <w:p w14:paraId="7440109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通过素描石膏几何体的学习，使学生在作画过程中始终保持根本形体意识并遵循一定的作画步骤；培养学生观察、分析、思考、创新的精神</w:t>
            </w:r>
          </w:p>
        </w:tc>
      </w:tr>
      <w:tr w14:paraId="058E7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4E0C7EBC">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6</w:t>
            </w:r>
          </w:p>
        </w:tc>
        <w:tc>
          <w:tcPr>
            <w:tcW w:w="1065" w:type="dxa"/>
            <w:vAlign w:val="center"/>
          </w:tcPr>
          <w:p w14:paraId="544EAE7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口腔修复工艺材料学</w:t>
            </w:r>
          </w:p>
        </w:tc>
        <w:tc>
          <w:tcPr>
            <w:tcW w:w="1875" w:type="dxa"/>
            <w:vAlign w:val="top"/>
          </w:tcPr>
          <w:p w14:paraId="611CCD2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通过本课程的学习，要求学生熟悉了解口腔技工室临床常用材料的分类、基本组成、特性等理论知识，为后续的口腔医学技术专业技能课程的实践操作课打下基础</w:t>
            </w:r>
          </w:p>
        </w:tc>
        <w:tc>
          <w:tcPr>
            <w:tcW w:w="2595" w:type="dxa"/>
            <w:vAlign w:val="top"/>
          </w:tcPr>
          <w:p w14:paraId="3CB2C13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口腔材料的分类及性能；口腔高分子材料；口腔无机非金属材料；口腔金属材料；口腔辅助材料等</w:t>
            </w:r>
          </w:p>
        </w:tc>
        <w:tc>
          <w:tcPr>
            <w:tcW w:w="3291" w:type="dxa"/>
            <w:vAlign w:val="top"/>
          </w:tcPr>
          <w:p w14:paraId="484D380F">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以课堂理论教学和实践教学为主，教学中可采用多种手段调动学生参与教学，提升教学效果，使学生能掌握印模材料、石膏材料、蜡型材料、铸造包埋材料、陶瓷材料、金属材料等义齿加工流程中的常用材料名称及正确使用方法</w:t>
            </w:r>
          </w:p>
        </w:tc>
      </w:tr>
    </w:tbl>
    <w:p w14:paraId="19811F5B">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50" w:line="240" w:lineRule="auto"/>
        <w:ind w:firstLine="622" w:firstLineChars="200"/>
        <w:textAlignment w:val="baseline"/>
        <w:rPr>
          <w:b/>
          <w:bCs/>
        </w:rPr>
      </w:pPr>
      <w:r>
        <w:rPr>
          <w:rFonts w:hint="eastAsia"/>
          <w:b/>
          <w:bCs/>
          <w:lang w:val="en-US" w:eastAsia="zh-CN"/>
        </w:rPr>
        <w:t>2.</w:t>
      </w:r>
      <w:r>
        <w:rPr>
          <w:b/>
          <w:bCs/>
        </w:rPr>
        <w:t>专业核心课</w:t>
      </w:r>
    </w:p>
    <w:tbl>
      <w:tblPr>
        <w:tblStyle w:val="13"/>
        <w:tblW w:w="94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1065"/>
        <w:gridCol w:w="1875"/>
        <w:gridCol w:w="2595"/>
        <w:gridCol w:w="3315"/>
      </w:tblGrid>
      <w:tr w14:paraId="346C5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622" w:type="dxa"/>
            <w:vAlign w:val="center"/>
          </w:tcPr>
          <w:p w14:paraId="0E94271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序号</w:t>
            </w:r>
          </w:p>
        </w:tc>
        <w:tc>
          <w:tcPr>
            <w:tcW w:w="1065" w:type="dxa"/>
            <w:vAlign w:val="center"/>
          </w:tcPr>
          <w:p w14:paraId="4D63F3F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课程名称</w:t>
            </w:r>
          </w:p>
        </w:tc>
        <w:tc>
          <w:tcPr>
            <w:tcW w:w="1875" w:type="dxa"/>
            <w:vAlign w:val="center"/>
          </w:tcPr>
          <w:p w14:paraId="342FBDB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课程目标</w:t>
            </w:r>
          </w:p>
        </w:tc>
        <w:tc>
          <w:tcPr>
            <w:tcW w:w="2595" w:type="dxa"/>
            <w:vAlign w:val="center"/>
          </w:tcPr>
          <w:p w14:paraId="275DD86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教学内容</w:t>
            </w:r>
          </w:p>
        </w:tc>
        <w:tc>
          <w:tcPr>
            <w:tcW w:w="3315" w:type="dxa"/>
            <w:vAlign w:val="center"/>
          </w:tcPr>
          <w:p w14:paraId="5122DCF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教学要求</w:t>
            </w:r>
          </w:p>
        </w:tc>
      </w:tr>
      <w:tr w14:paraId="7E60D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1A75C072">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w:t>
            </w:r>
          </w:p>
        </w:tc>
        <w:tc>
          <w:tcPr>
            <w:tcW w:w="1065" w:type="dxa"/>
            <w:vAlign w:val="center"/>
          </w:tcPr>
          <w:p w14:paraId="40DF4C6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口腔疾病概要</w:t>
            </w:r>
          </w:p>
        </w:tc>
        <w:tc>
          <w:tcPr>
            <w:tcW w:w="1875" w:type="dxa"/>
            <w:vAlign w:val="top"/>
          </w:tcPr>
          <w:p w14:paraId="3457E8A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通过本课程的学习，要求学生掌握龋病、牙髓病、根尖周病、牙周病、儿牙病等常见病的临床表现、诊断、治疗（修复）和口腔预防基本知识。熟悉口腔颌面部基础解剖，影像学基础理论知识，了解我国种植外科的业务范围、新的进展和发展方向</w:t>
            </w:r>
          </w:p>
        </w:tc>
        <w:tc>
          <w:tcPr>
            <w:tcW w:w="2595" w:type="dxa"/>
            <w:vAlign w:val="top"/>
          </w:tcPr>
          <w:p w14:paraId="3C1741B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口腔内科检查及医疗文件的书写；牙体牙髓病（龋病、牙体硬组织非龋性疾病）；牙周病；儿童牙病；老年牙病；口腔黏膜病；外科基础知识及基本操作；麻醉与镇痛；牙及牙槽外科；种植外科；口腔颌面部损伤及感染；口腔颌面部肿瘤；唾液腺疾病；颞下颌关节疾病；唇裂与腭裂；口腔颌面部神经疾病</w:t>
            </w:r>
          </w:p>
        </w:tc>
        <w:tc>
          <w:tcPr>
            <w:tcW w:w="3315" w:type="dxa"/>
            <w:vAlign w:val="top"/>
          </w:tcPr>
          <w:p w14:paraId="7E8A78A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以课堂理论教学和实践教学为主，教学中可采用多种手段调动学生参与教学，提升教学效果，使学生掌握了解口腔工作中常见的疾病问题及关注点，尊重医学基础规律，增强未来医技沟通的基础和有效性</w:t>
            </w:r>
          </w:p>
        </w:tc>
      </w:tr>
      <w:tr w14:paraId="0A1FE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7CCF7219">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w:t>
            </w:r>
          </w:p>
        </w:tc>
        <w:tc>
          <w:tcPr>
            <w:tcW w:w="1065" w:type="dxa"/>
            <w:vAlign w:val="center"/>
          </w:tcPr>
          <w:p w14:paraId="23950A4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口腔固定修复工艺技术</w:t>
            </w:r>
          </w:p>
        </w:tc>
        <w:tc>
          <w:tcPr>
            <w:tcW w:w="1875" w:type="dxa"/>
            <w:vAlign w:val="center"/>
          </w:tcPr>
          <w:p w14:paraId="20C45BD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通过本课程的学习，掌握牙列缺损固定义齿修复的基本理论及其相关知识；熟悉固定修复体的牙体预备的原则、方法；了解口腔固定修复的新知识、新技术；能够运用所学专业知识熟练制作各类固定修复体；能发现修复技术操作过程中的错误并进行纠正；能对口腔固定修复体制作过程进行质量控制及检验</w:t>
            </w:r>
          </w:p>
        </w:tc>
        <w:tc>
          <w:tcPr>
            <w:tcW w:w="2595" w:type="dxa"/>
            <w:vAlign w:val="center"/>
          </w:tcPr>
          <w:p w14:paraId="32E52E78">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校内教学：固定修复工艺发展过程、特点、制作流程；固定修复工艺实用基础理论；模型与代型技术；计算机辅助设计和制作技术；医技交流和质量控制等</w:t>
            </w:r>
          </w:p>
          <w:p w14:paraId="2F76FAC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外教学：熔模技术；包埋技术；焊接技术；烤瓷熔附金属修复技术；全瓷技术；打磨抛光技术；种植固定修复；上瓷、车瓷、上釉等。此外，要求学生严格遵守实习单位规章制度，培养严谨的工作作风、团队协作精神和服务意识，快速适应行业岗位要求，实现从学生到职业人的角色转变</w:t>
            </w:r>
          </w:p>
        </w:tc>
        <w:tc>
          <w:tcPr>
            <w:tcW w:w="3315" w:type="dxa"/>
            <w:vAlign w:val="center"/>
          </w:tcPr>
          <w:p w14:paraId="401A5EA8">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内教学：教师通过固定义齿临床与技工室制作工艺技术，可制作可卸式代型、蜡熔模等实训。以及制作固定义齿的新材料、新技术、新方法的阐述，使学生能运用相关基本理论和基本技能制作各种固定修复体。与此同时，树立良好的职业道德，使其具有认真严谨的工作作风、强烈的责任感、团结协作、效益意识及创新精神，为学生的职业能力的发展奠定良好的基础</w:t>
            </w:r>
          </w:p>
          <w:p w14:paraId="407F5D4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校外教学：在义齿加工厂实习时，学生要深入各生产环节，了解企业实际生产流程与质量控制标准，熟悉不同修复体从设计到成品的全流程操作，掌握先进设备与新技术应用，如数字化设计与 3D 打印技术在固定修复中的运用</w:t>
            </w:r>
          </w:p>
        </w:tc>
      </w:tr>
      <w:tr w14:paraId="009D6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42F37F44">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3</w:t>
            </w:r>
          </w:p>
        </w:tc>
        <w:tc>
          <w:tcPr>
            <w:tcW w:w="1065" w:type="dxa"/>
            <w:vAlign w:val="center"/>
          </w:tcPr>
          <w:p w14:paraId="7145024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可摘局部义齿修复工艺技术</w:t>
            </w:r>
          </w:p>
        </w:tc>
        <w:tc>
          <w:tcPr>
            <w:tcW w:w="1875" w:type="dxa"/>
            <w:vAlign w:val="center"/>
          </w:tcPr>
          <w:p w14:paraId="6EB73459">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通过本课程的学习，掌握可摘局部义齿的基本组成、分类和常用可摘义齿修复工艺技术的设计原则、基本要求、制作工艺、制作流程；熟悉特殊可摘局部义齿修复工艺技术的概念、组成、分类和基本原理；了解可摘局部义齿的操作技术、特殊可摘局部义齿修复工艺技术和辅助技术基础理论知识和操作技能；能在教师的指导下独立完成常用可摘局部义齿修复工艺的操作，熟练常用可摘局部义齿修复体的制作技术，学会设备、器材的正确使用和运用所学进行义齿的设计及问题解决</w:t>
            </w:r>
          </w:p>
        </w:tc>
        <w:tc>
          <w:tcPr>
            <w:tcW w:w="2595" w:type="dxa"/>
            <w:vAlign w:val="center"/>
          </w:tcPr>
          <w:p w14:paraId="5CD0DD44">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内教学：校内教学以夯实理论与基础技能为主。在理论教学中，教师需系统讲解可摘局部义齿的分类、设计原则、固位稳定原理，以及各类部件的功能与作用，如卡环、基托、连接体的力学原理和材料特性，帮助学生建立完整知识框架。实践教学环节，依托口腔实验室，学生要熟练掌握模型制取、观测线测绘、卡环弯制、基托蜡型制作等基础操作。通过反复练习，精准把控卡环的固位力与弹性，规范基托边缘形态与厚度。同时，借助模拟病例，开展设计方案讨论与制作流程演练，培养学生运用理论知识解决实际问题的能力，为后续实践奠定坚实基础</w:t>
            </w:r>
          </w:p>
          <w:p w14:paraId="57CA918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校外教学：在义齿加工企业实习时，学生需参与可摘局部义齿从模型接收、支架铸造、排牙、充胶到打磨抛光的全流程生产，熟悉企业标准化操作规范与质量控制体系，掌握 CAD/CAM 数字化设计与制作技术在可摘局部义齿中的应用。此外，要求学生严格遵守单位规章制度，培养严谨的工作作风、团队协作精神和服务意识，快速适应行业岗位要求，实现从学生到职业人的角色转变</w:t>
            </w:r>
          </w:p>
        </w:tc>
        <w:tc>
          <w:tcPr>
            <w:tcW w:w="3315" w:type="dxa"/>
            <w:vAlign w:val="center"/>
          </w:tcPr>
          <w:p w14:paraId="0A35BDB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课堂理论教学及实验实训相结合，让学生们能够掌握一技之长，在掌握基本理论的基础上，重点要求学生通过实验实训掌握可摘局部义齿制作工艺全过程，满足就业的知识和技术的需要，培养学生的人文素养、工匠精神，树立正确的世界观、人生观、价值观，提高职业道德素养，强化责任意识、团队精神、创新意识，为学生的职业能力发展奠定良好的基础</w:t>
            </w:r>
          </w:p>
        </w:tc>
      </w:tr>
      <w:tr w14:paraId="560BF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center"/>
          </w:tcPr>
          <w:p w14:paraId="18021E6B">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4</w:t>
            </w:r>
          </w:p>
        </w:tc>
        <w:tc>
          <w:tcPr>
            <w:tcW w:w="1065" w:type="dxa"/>
            <w:vAlign w:val="center"/>
          </w:tcPr>
          <w:p w14:paraId="3615C4B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全口义齿工艺技术</w:t>
            </w:r>
          </w:p>
        </w:tc>
        <w:tc>
          <w:tcPr>
            <w:tcW w:w="1875" w:type="dxa"/>
            <w:vAlign w:val="center"/>
          </w:tcPr>
          <w:p w14:paraId="2391FC1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通过本课程的学习，掌握全口义齿的相关理论知识；熟悉全口义齿的制作工艺；了解全口义齿修复后的常见问题及处理；能够独立完成全口义齿的制作</w:t>
            </w:r>
          </w:p>
          <w:p w14:paraId="526A13FC">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tc>
        <w:tc>
          <w:tcPr>
            <w:tcW w:w="2595" w:type="dxa"/>
            <w:vAlign w:val="center"/>
          </w:tcPr>
          <w:p w14:paraId="0D5F046F">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全口义齿的固位和稳定；全口义齿的分类；印模制取和颌位关系记录；牙合架及颌位关系的转移；平横牙合与排牙；蜡型的试戴；全口义齿的完成；全口义齿制作中常见的问题；全口义齿的试戴；修复后常见问题及处理；覆盖式全口义齿等</w:t>
            </w:r>
          </w:p>
        </w:tc>
        <w:tc>
          <w:tcPr>
            <w:tcW w:w="3315" w:type="dxa"/>
            <w:vAlign w:val="center"/>
          </w:tcPr>
          <w:p w14:paraId="40150FD0">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教师通过全口义齿工艺技术的基本概念、知识和技能的讲解，以及实训课的示范与指导使学生全面了解无牙合解剖标志与排牙及义齿边缘对应的位置关系，模型的标准化处理，牙合架的操作流程，排牙及观察面形成，平衡牙合的调整以及固化后选磨</w:t>
            </w:r>
          </w:p>
        </w:tc>
      </w:tr>
      <w:tr w14:paraId="0F50C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top"/>
          </w:tcPr>
          <w:p w14:paraId="7D9171D1">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4AE37E6E">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6E0E285B">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5F94C139">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55818667">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2FC7CDE4">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051769AC">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558E8891">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56799F09">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51E976C6">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379ACFED">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6967D736">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70A016F3">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0EE6FD7B">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77918DAB">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75B8E552">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725F528B">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5</w:t>
            </w:r>
          </w:p>
        </w:tc>
        <w:tc>
          <w:tcPr>
            <w:tcW w:w="1065" w:type="dxa"/>
            <w:vAlign w:val="top"/>
          </w:tcPr>
          <w:p w14:paraId="2932C04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2678789C">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2FF640D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3A82E36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3ED4A2B8">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027C09C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141E3F0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16F195B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63C676A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19FD27B5">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73DC8EBF">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33D294CC">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口腔数字化技术</w:t>
            </w:r>
          </w:p>
        </w:tc>
        <w:tc>
          <w:tcPr>
            <w:tcW w:w="1875" w:type="dxa"/>
            <w:vAlign w:val="top"/>
          </w:tcPr>
          <w:p w14:paraId="1E23319F">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本课程是口腔医学技术专业核心技能课程，面向数字化口腔行业岗位需求，旨在让高职学生掌握数字化口腔诊疗与义齿加工的基础理论、核心设备操作原理，熟悉数字化口腔技术行业规范与质量标准，具备独立完成基础数字化口腔操作的岗位能力，结合校内外分段教学，适配企业数字化岗位上岗要求，培养兼具实操能力、质量意识和创新思维的数字化口腔技术技能型人才。</w:t>
            </w:r>
          </w:p>
        </w:tc>
        <w:tc>
          <w:tcPr>
            <w:tcW w:w="2595" w:type="dxa"/>
            <w:vAlign w:val="top"/>
          </w:tcPr>
          <w:p w14:paraId="04812C5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内教学：以理论基础、模拟实操和基础设备实训为核心，主要涵盖数字化口腔技术基础理论、口内扫描技术原理与操作流程、数字化模型设计与修整、CAD/CAM系统基础操作、数字化修复体设计基础、口腔数字化影像识别、数字化技术操作安全规范及校内模拟实训项目，依托校内实训设备完成标准化、规范化的基础技能训练，夯实数字化操作基本功。</w:t>
            </w:r>
            <w:r>
              <w:rPr>
                <w:rFonts w:hint="eastAsia" w:ascii="楷体" w:hAnsi="楷体" w:eastAsia="楷体" w:cs="楷体"/>
                <w:b w:val="0"/>
                <w:bCs/>
                <w:color w:val="auto"/>
                <w:sz w:val="20"/>
                <w:szCs w:val="20"/>
                <w:lang w:val="en-US" w:eastAsia="zh-CN"/>
              </w:rPr>
              <w:br w:type="textWrapping"/>
            </w:r>
            <w:r>
              <w:rPr>
                <w:rFonts w:hint="eastAsia" w:ascii="楷体" w:hAnsi="楷体" w:eastAsia="楷体" w:cs="楷体"/>
                <w:b w:val="0"/>
                <w:bCs/>
                <w:color w:val="auto"/>
                <w:sz w:val="20"/>
                <w:szCs w:val="20"/>
                <w:lang w:val="en-US" w:eastAsia="zh-CN"/>
              </w:rPr>
              <w:t>校外教学：校外企业实践教学聚焦岗位实战与项目实操，依托义齿加工企业、数字化口腔机构真实工作场景，学习企业主流数字化加工设备的实操应用、全瓷修复体数字化制作、数字化正畸模型设计、数字化产品质检流程、岗位协同工作规范，参与真实数字化口腔修复项目辅助工作，掌握行业前沿工艺与企业标准化生产流程。</w:t>
            </w:r>
          </w:p>
        </w:tc>
        <w:tc>
          <w:tcPr>
            <w:tcW w:w="3315" w:type="dxa"/>
            <w:vAlign w:val="top"/>
          </w:tcPr>
          <w:p w14:paraId="53F3611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学生需熟练掌握校内口扫、数字化模型处理等基础操作，熟知数字化口腔操作卫生规范与安全标准，杜绝违规操作；校外实训期间需对接企业岗位标准，遵守企业管理制度与生产流程，能够独立完成基础数字化岗位实操任务，精准把控产品精度与质量，具备良好的岗位适配能力、团队协作能力和新技术学习能力，契合口腔数字化行业精细化、智能化发展需求。</w:t>
            </w:r>
          </w:p>
        </w:tc>
      </w:tr>
      <w:tr w14:paraId="4DD64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top"/>
          </w:tcPr>
          <w:p w14:paraId="763B805F">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7A44F9C1">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24DE067B">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49EE0F6C">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25BAFA8E">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1B4D0946">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6F83DC96">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7DD9580F">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2FFEC571">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2D585A78">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15A76441">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7ED629E8">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6</w:t>
            </w:r>
          </w:p>
        </w:tc>
        <w:tc>
          <w:tcPr>
            <w:tcW w:w="1065" w:type="dxa"/>
            <w:vAlign w:val="top"/>
          </w:tcPr>
          <w:p w14:paraId="4B000D8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6691DFB4">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5D1AEA8A">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598D818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3F0D845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5F70C96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3281D8E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361B8F54">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口腔正畸学</w:t>
            </w:r>
          </w:p>
        </w:tc>
        <w:tc>
          <w:tcPr>
            <w:tcW w:w="1875" w:type="dxa"/>
            <w:vAlign w:val="top"/>
          </w:tcPr>
          <w:p w14:paraId="11909DA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本课程为口腔医学技术专业核心专业课程，立足高职技能型人才培养定位，旨在让学生系统掌握口腔正畸学基础理论、常见错颌畸形分类、正畸矫治器结构原理与制作工艺，熟悉临床正畸辅助工作流程，具备正畸模型分析、矫治器制作、正畸辅助配合的专业能力，适配口腔正畸机构、义齿加工企业正畸技术岗位的工作需求。</w:t>
            </w:r>
          </w:p>
        </w:tc>
        <w:tc>
          <w:tcPr>
            <w:tcW w:w="2595" w:type="dxa"/>
            <w:vAlign w:val="top"/>
          </w:tcPr>
          <w:p w14:paraId="22E5A25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课程主要包含口腔正畸学基础理论、颅颌面部生长发育规律、常见错颌畸形的病因与临床表现、正畸检查与模型测量分析、固定矫治器与活动矫治器的结构及制作技术、隐形正畸辅助技术、正畸临床操作辅助流程、正畸治疗常见问题及处理、正畸技术行业操作规范与质量标准等核心内容，兼顾理论知识与实操技能教学。</w:t>
            </w:r>
          </w:p>
        </w:tc>
        <w:tc>
          <w:tcPr>
            <w:tcW w:w="3315" w:type="dxa"/>
            <w:vAlign w:val="top"/>
          </w:tcPr>
          <w:p w14:paraId="70DC142A">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学生需熟练掌握各类错颌畸形的识别、正畸模型测量与分析方法，精准掌握常规正畸矫治器的制作流程与工艺要点，严格遵守正畸技术操作规范与医疗卫生标准；能够熟练配合口腔正畸医师完成临床辅助工作，具备严谨的工作态度、精细的实操能力和良好的医患辅助沟通素养，可快速适配正畸技术相关岗位工作要求。</w:t>
            </w:r>
          </w:p>
        </w:tc>
      </w:tr>
    </w:tbl>
    <w:p w14:paraId="4F92CB78">
      <w:pPr>
        <w:spacing w:line="38" w:lineRule="auto"/>
        <w:rPr>
          <w:rFonts w:ascii="Arial"/>
          <w:sz w:val="2"/>
        </w:rPr>
      </w:pPr>
    </w:p>
    <w:p w14:paraId="337220FE">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before="0" w:beforeLines="50" w:line="240" w:lineRule="auto"/>
        <w:ind w:firstLine="622" w:firstLineChars="200"/>
        <w:textAlignment w:val="baseline"/>
        <w:rPr>
          <w:rFonts w:hint="eastAsia"/>
          <w:b/>
          <w:bCs/>
          <w:lang w:val="en-US" w:eastAsia="zh-CN"/>
        </w:rPr>
      </w:pPr>
      <w:r>
        <w:rPr>
          <w:rFonts w:hint="eastAsia"/>
          <w:b/>
          <w:bCs/>
          <w:lang w:val="en-US" w:eastAsia="zh-CN"/>
        </w:rPr>
        <w:t>3.专业拓展课</w:t>
      </w:r>
    </w:p>
    <w:tbl>
      <w:tblPr>
        <w:tblStyle w:val="13"/>
        <w:tblW w:w="94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2"/>
        <w:gridCol w:w="1065"/>
        <w:gridCol w:w="1875"/>
        <w:gridCol w:w="2595"/>
        <w:gridCol w:w="3299"/>
      </w:tblGrid>
      <w:tr w14:paraId="6D710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622" w:type="dxa"/>
            <w:vAlign w:val="center"/>
          </w:tcPr>
          <w:p w14:paraId="25E98E1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序号</w:t>
            </w:r>
          </w:p>
        </w:tc>
        <w:tc>
          <w:tcPr>
            <w:tcW w:w="1065" w:type="dxa"/>
            <w:vAlign w:val="center"/>
          </w:tcPr>
          <w:p w14:paraId="0359B4D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课程名称</w:t>
            </w:r>
          </w:p>
        </w:tc>
        <w:tc>
          <w:tcPr>
            <w:tcW w:w="1875" w:type="dxa"/>
            <w:vAlign w:val="center"/>
          </w:tcPr>
          <w:p w14:paraId="5B83A90F">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课程目标</w:t>
            </w:r>
          </w:p>
        </w:tc>
        <w:tc>
          <w:tcPr>
            <w:tcW w:w="2595" w:type="dxa"/>
            <w:vAlign w:val="center"/>
          </w:tcPr>
          <w:p w14:paraId="354B210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教学内容</w:t>
            </w:r>
          </w:p>
        </w:tc>
        <w:tc>
          <w:tcPr>
            <w:tcW w:w="3299" w:type="dxa"/>
            <w:vAlign w:val="center"/>
          </w:tcPr>
          <w:p w14:paraId="075DC34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楷体" w:hAnsi="楷体" w:eastAsia="楷体" w:cs="楷体"/>
                <w:b/>
                <w:bCs/>
                <w:spacing w:val="-2"/>
                <w:sz w:val="20"/>
                <w:szCs w:val="20"/>
                <w:lang w:val="en-US" w:eastAsia="zh-CN"/>
              </w:rPr>
            </w:pPr>
            <w:r>
              <w:rPr>
                <w:rFonts w:hint="eastAsia" w:ascii="楷体" w:hAnsi="楷体" w:eastAsia="楷体" w:cs="楷体"/>
                <w:b/>
                <w:bCs/>
                <w:spacing w:val="-2"/>
                <w:sz w:val="20"/>
                <w:szCs w:val="20"/>
                <w:lang w:val="en-US" w:eastAsia="zh-CN"/>
              </w:rPr>
              <w:t>教学要求</w:t>
            </w:r>
          </w:p>
        </w:tc>
      </w:tr>
      <w:tr w14:paraId="41DA7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300A0739">
            <w:pPr>
              <w:keepNext w:val="0"/>
              <w:keepLines w:val="0"/>
              <w:pageBreakBefore w:val="0"/>
              <w:widowControl/>
              <w:kinsoku/>
              <w:wordWrap/>
              <w:overflowPunct w:val="0"/>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color w:val="auto"/>
                <w:sz w:val="20"/>
                <w:szCs w:val="20"/>
                <w:lang w:val="en-US" w:eastAsia="zh-CN"/>
              </w:rPr>
            </w:pPr>
          </w:p>
          <w:p w14:paraId="15239F5C">
            <w:pPr>
              <w:keepNext w:val="0"/>
              <w:keepLines w:val="0"/>
              <w:pageBreakBefore w:val="0"/>
              <w:widowControl/>
              <w:kinsoku/>
              <w:wordWrap/>
              <w:overflowPunct w:val="0"/>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color w:val="auto"/>
                <w:sz w:val="20"/>
                <w:szCs w:val="20"/>
                <w:lang w:val="en-US" w:eastAsia="zh-CN"/>
              </w:rPr>
            </w:pPr>
          </w:p>
          <w:p w14:paraId="6842E2F6">
            <w:pPr>
              <w:keepNext w:val="0"/>
              <w:keepLines w:val="0"/>
              <w:pageBreakBefore w:val="0"/>
              <w:widowControl/>
              <w:kinsoku/>
              <w:wordWrap/>
              <w:overflowPunct w:val="0"/>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color w:val="auto"/>
                <w:sz w:val="20"/>
                <w:szCs w:val="20"/>
                <w:lang w:val="en-US" w:eastAsia="zh-CN"/>
              </w:rPr>
            </w:pPr>
          </w:p>
          <w:p w14:paraId="11DC95A6">
            <w:pPr>
              <w:keepNext w:val="0"/>
              <w:keepLines w:val="0"/>
              <w:pageBreakBefore w:val="0"/>
              <w:widowControl/>
              <w:kinsoku/>
              <w:wordWrap/>
              <w:overflowPunct w:val="0"/>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color w:val="auto"/>
                <w:sz w:val="20"/>
                <w:szCs w:val="20"/>
                <w:lang w:val="en-US" w:eastAsia="zh-CN"/>
              </w:rPr>
            </w:pPr>
          </w:p>
          <w:p w14:paraId="0E11F6A2">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center"/>
              <w:textAlignment w:val="baseline"/>
              <w:rPr>
                <w:rFonts w:hint="eastAsia" w:ascii="楷体" w:hAnsi="楷体" w:eastAsia="楷体" w:cs="楷体"/>
                <w:b w:val="0"/>
                <w:bCs/>
                <w:color w:val="auto"/>
                <w:sz w:val="20"/>
                <w:szCs w:val="20"/>
                <w:lang w:val="en-US" w:eastAsia="zh-CN"/>
              </w:rPr>
            </w:pPr>
          </w:p>
          <w:p w14:paraId="56E311AA">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center"/>
              <w:textAlignment w:val="baseline"/>
              <w:rPr>
                <w:rFonts w:hint="eastAsia" w:ascii="楷体" w:hAnsi="楷体" w:eastAsia="楷体" w:cs="楷体"/>
                <w:b w:val="0"/>
                <w:bCs/>
                <w:color w:val="auto"/>
                <w:sz w:val="20"/>
                <w:szCs w:val="20"/>
                <w:lang w:val="en-US" w:eastAsia="zh-CN"/>
              </w:rPr>
            </w:pPr>
          </w:p>
          <w:p w14:paraId="7D70AC04">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center"/>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1</w:t>
            </w:r>
          </w:p>
        </w:tc>
        <w:tc>
          <w:tcPr>
            <w:tcW w:w="1065" w:type="dxa"/>
            <w:vAlign w:val="center"/>
          </w:tcPr>
          <w:p w14:paraId="48DC7F30">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口腔设备学</w:t>
            </w:r>
          </w:p>
        </w:tc>
        <w:tc>
          <w:tcPr>
            <w:tcW w:w="1875" w:type="dxa"/>
            <w:vAlign w:val="top"/>
          </w:tcPr>
          <w:p w14:paraId="7951F71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通过本课程的学习，掌握口腔综合治疗台、常用口腔临床设备、修复工艺设备、口腔医学图像成像设备、口腔消毒灭菌设备等基本概念、组成和使用说明</w:t>
            </w:r>
          </w:p>
        </w:tc>
        <w:tc>
          <w:tcPr>
            <w:tcW w:w="2595" w:type="dxa"/>
            <w:vAlign w:val="top"/>
          </w:tcPr>
          <w:p w14:paraId="7BC7527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数字化口腔医疗设备；口腔设备管理；口腔医疗设备与医源性感染；口腔诊疗体位与操作姿势；口腔综合治疗台、口腔临床设备、修复工艺设备、口腔医学图像成像设备、口腔实验学设备、口腔消毒灭菌设备；口腔诊所的设计与装备等</w:t>
            </w:r>
          </w:p>
        </w:tc>
        <w:tc>
          <w:tcPr>
            <w:tcW w:w="3299" w:type="dxa"/>
            <w:vAlign w:val="top"/>
          </w:tcPr>
          <w:p w14:paraId="2B5F1175">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从临床应用角度，培养学生正确和有效使用相应仪器设备，用于诊断和治疗疾病的能力；对于常见故障，具有正确判断和初步维修的能力，建立起设备－医疗－感染－管理一体的观念以及设备购置、使用到维护管理的思维模式，提升自主学习和终身学习的意识</w:t>
            </w:r>
          </w:p>
        </w:tc>
      </w:tr>
      <w:tr w14:paraId="5CC00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2" w:hRule="atLeast"/>
        </w:trPr>
        <w:tc>
          <w:tcPr>
            <w:tcW w:w="622" w:type="dxa"/>
            <w:vAlign w:val="center"/>
          </w:tcPr>
          <w:p w14:paraId="096FB8CD">
            <w:pPr>
              <w:keepNext w:val="0"/>
              <w:keepLines w:val="0"/>
              <w:pageBreakBefore w:val="0"/>
              <w:widowControl/>
              <w:kinsoku/>
              <w:wordWrap/>
              <w:overflowPunct w:val="0"/>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color w:val="auto"/>
                <w:sz w:val="20"/>
                <w:szCs w:val="20"/>
                <w:lang w:val="en-US" w:eastAsia="zh-CN"/>
              </w:rPr>
            </w:pPr>
          </w:p>
          <w:p w14:paraId="363943BD">
            <w:pPr>
              <w:keepNext w:val="0"/>
              <w:keepLines w:val="0"/>
              <w:pageBreakBefore w:val="0"/>
              <w:widowControl/>
              <w:kinsoku/>
              <w:wordWrap/>
              <w:overflowPunct w:val="0"/>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color w:val="auto"/>
                <w:sz w:val="20"/>
                <w:szCs w:val="20"/>
                <w:lang w:val="en-US" w:eastAsia="zh-CN"/>
              </w:rPr>
            </w:pPr>
          </w:p>
          <w:p w14:paraId="21154FEE">
            <w:pPr>
              <w:keepNext w:val="0"/>
              <w:keepLines w:val="0"/>
              <w:pageBreakBefore w:val="0"/>
              <w:widowControl/>
              <w:kinsoku/>
              <w:wordWrap/>
              <w:overflowPunct w:val="0"/>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color w:val="auto"/>
                <w:sz w:val="20"/>
                <w:szCs w:val="20"/>
                <w:lang w:val="en-US" w:eastAsia="zh-CN"/>
              </w:rPr>
            </w:pPr>
          </w:p>
          <w:p w14:paraId="0AD1594D">
            <w:pPr>
              <w:keepNext w:val="0"/>
              <w:keepLines w:val="0"/>
              <w:pageBreakBefore w:val="0"/>
              <w:widowControl/>
              <w:kinsoku/>
              <w:wordWrap/>
              <w:overflowPunct w:val="0"/>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color w:val="auto"/>
                <w:sz w:val="20"/>
                <w:szCs w:val="20"/>
                <w:lang w:val="en-US" w:eastAsia="zh-CN"/>
              </w:rPr>
            </w:pPr>
          </w:p>
          <w:p w14:paraId="109ED4DD">
            <w:pPr>
              <w:keepNext w:val="0"/>
              <w:keepLines w:val="0"/>
              <w:pageBreakBefore w:val="0"/>
              <w:widowControl/>
              <w:kinsoku/>
              <w:wordWrap/>
              <w:overflowPunct w:val="0"/>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color w:val="auto"/>
                <w:sz w:val="20"/>
                <w:szCs w:val="20"/>
                <w:lang w:val="en-US" w:eastAsia="zh-CN"/>
              </w:rPr>
            </w:pPr>
          </w:p>
          <w:p w14:paraId="13F56178">
            <w:pPr>
              <w:keepNext w:val="0"/>
              <w:keepLines w:val="0"/>
              <w:pageBreakBefore w:val="0"/>
              <w:widowControl/>
              <w:kinsoku/>
              <w:wordWrap/>
              <w:overflowPunct w:val="0"/>
              <w:topLinePunct w:val="0"/>
              <w:autoSpaceDE w:val="0"/>
              <w:autoSpaceDN w:val="0"/>
              <w:bidi w:val="0"/>
              <w:adjustRightInd w:val="0"/>
              <w:snapToGrid w:val="0"/>
              <w:spacing w:line="240" w:lineRule="auto"/>
              <w:jc w:val="center"/>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2</w:t>
            </w:r>
          </w:p>
        </w:tc>
        <w:tc>
          <w:tcPr>
            <w:tcW w:w="1065" w:type="dxa"/>
            <w:vAlign w:val="center"/>
          </w:tcPr>
          <w:p w14:paraId="5139524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口腔医学</w:t>
            </w:r>
          </w:p>
          <w:p w14:paraId="0F202B2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美学</w:t>
            </w:r>
          </w:p>
        </w:tc>
        <w:tc>
          <w:tcPr>
            <w:tcW w:w="1875" w:type="dxa"/>
            <w:vAlign w:val="center"/>
          </w:tcPr>
          <w:p w14:paraId="0418E67C">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通过本课程的学习，掌握美学及医学美学的基础知识，基本理论及临床应用，了解口腔相关临床学科中的常用方法，口腔常见病诊治中的美学原则；学会用医学手段与美学手段相结合来直接维护、修复和塑造口腔颜面部的形态美</w:t>
            </w:r>
          </w:p>
        </w:tc>
        <w:tc>
          <w:tcPr>
            <w:tcW w:w="2595" w:type="dxa"/>
            <w:vAlign w:val="center"/>
          </w:tcPr>
          <w:p w14:paraId="112AF858">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内教学：校内教学内容包含美学基础理论与口腔美学设计实践，讲解色彩学、形态学在口腔美学中的应用，牙齿美学修复原则与方法；通过案例分析、软件模拟设计等方式，让学生掌握牙齿形态、颜色、排列的美学设计技巧</w:t>
            </w:r>
          </w:p>
          <w:p w14:paraId="5D66E40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外教学：校外教学内容侧重实践与患者沟通，美学基础；口腔医学美学基础；口腔摄影；口腔美学修复；口腔修复体仿真制作；牙周治疗技术在口腔医学美学中的应用；椅旁牙体美学修复。学习医患沟通中美学方案的讲解与设计调整；接触各类复杂美学修复案例，提升实际操作与审美能力</w:t>
            </w:r>
          </w:p>
        </w:tc>
        <w:tc>
          <w:tcPr>
            <w:tcW w:w="3299" w:type="dxa"/>
            <w:vAlign w:val="center"/>
          </w:tcPr>
          <w:p w14:paraId="7AB15AB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校内教学：教学要求学生能够依据美学标准对口腔修复病例进行初步设计，准确分析常见口腔美学问题，并提出合理的解决方案</w:t>
            </w:r>
          </w:p>
          <w:p w14:paraId="05D7FF25">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校外教学：教学要求学生能独立完成常规口腔美学修复方案设计与实施，具备良好的医患沟通技巧，能根据患者需求与口腔实际情况制定个性化美学修复方案</w:t>
            </w:r>
          </w:p>
          <w:p w14:paraId="15A3DBC8">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tc>
      </w:tr>
      <w:tr w14:paraId="139AE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top"/>
          </w:tcPr>
          <w:p w14:paraId="02A0DAC4">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2CB22D0B">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6DC74F02">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4EC59695">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2E928A40">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4EB1B1E7">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1BE79B87">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1DEDA89C">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51AAF0B5">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16E9C4E8">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393A356E">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4764525B">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134C7523">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3</w:t>
            </w:r>
          </w:p>
          <w:p w14:paraId="529DDD5E">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6279215F">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389B3873">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tc>
        <w:tc>
          <w:tcPr>
            <w:tcW w:w="1065" w:type="dxa"/>
            <w:vAlign w:val="center"/>
          </w:tcPr>
          <w:p w14:paraId="2220601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口腔预防</w:t>
            </w:r>
          </w:p>
          <w:p w14:paraId="301E08A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医学</w:t>
            </w:r>
          </w:p>
        </w:tc>
        <w:tc>
          <w:tcPr>
            <w:tcW w:w="1875" w:type="dxa"/>
            <w:vAlign w:val="center"/>
          </w:tcPr>
          <w:p w14:paraId="2CE4EB8F">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通过本课程的学习，使学生能全面了解预防医学的定义和发展，口腔流行病学的研究方法；掌握龋病，牙周病以及错颌畸形的预防和特定口腔人群，社区口腔保健以及口腔健康教育与促进的意义</w:t>
            </w:r>
          </w:p>
        </w:tc>
        <w:tc>
          <w:tcPr>
            <w:tcW w:w="2595" w:type="dxa"/>
            <w:vAlign w:val="center"/>
          </w:tcPr>
          <w:p w14:paraId="51AEF59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内教学：校内教学内容涵盖预防医学基础理论与口腔预防技术学习，系统讲解口腔疾病的流行病学、病因预防、临床预防等知识，传授口腔健康检查、窝沟封闭、局部用氟等预防操作技术；通过模拟社区口腔健康宣教活动，培养学生的沟通与宣教能力</w:t>
            </w:r>
          </w:p>
          <w:p w14:paraId="7A318E9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校外教学：校外教学内容聚焦社区与临床预防实践，学生在社区卫生服务中心、口腔诊所等机构，参与口腔疾病普查、预防保健项目实施、患者口腔健康指导等工作；学习不同人群口腔预防策略的制定与实施</w:t>
            </w:r>
          </w:p>
        </w:tc>
        <w:tc>
          <w:tcPr>
            <w:tcW w:w="3299" w:type="dxa"/>
            <w:vAlign w:val="center"/>
          </w:tcPr>
          <w:p w14:paraId="02387CC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校内教学：教学要求学生掌握口腔预防医学的基本理论与常用预防技术，能够独立完成口腔健康检查与常见预防措施的实施，具备开展口腔健康宣教活动的能力</w:t>
            </w:r>
          </w:p>
          <w:p w14:paraId="10313FA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外教学：能明确口腔医学技师的工作职责，具备较强的医技沟通能力并掌握各类早期矫治器的基本结构与功能以及进行预防性矫治的意义；培养质量意识、环保意识、安全意识、信息素养、工匠精神、创新思维，并具有集体意识和团队合作精神</w:t>
            </w:r>
          </w:p>
        </w:tc>
      </w:tr>
      <w:tr w14:paraId="25E95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top"/>
          </w:tcPr>
          <w:p w14:paraId="0F113409">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78D8BC3A">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072046DB">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4D9EACE9">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4</w:t>
            </w:r>
          </w:p>
        </w:tc>
        <w:tc>
          <w:tcPr>
            <w:tcW w:w="1065" w:type="dxa"/>
            <w:vAlign w:val="center"/>
          </w:tcPr>
          <w:p w14:paraId="68CFF7D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口腔工艺管理</w:t>
            </w:r>
          </w:p>
        </w:tc>
        <w:tc>
          <w:tcPr>
            <w:tcW w:w="1875" w:type="dxa"/>
            <w:vAlign w:val="top"/>
          </w:tcPr>
          <w:p w14:paraId="7A9878ED">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通过本课程的学习，掌握口腔工艺管理的基本概念及环境管理和技师防护；熟悉材料、口腔工艺流程、环境及其管理、医技交流与合作；了解义齿加工企业的开设</w:t>
            </w:r>
          </w:p>
        </w:tc>
        <w:tc>
          <w:tcPr>
            <w:tcW w:w="2595" w:type="dxa"/>
            <w:vAlign w:val="top"/>
          </w:tcPr>
          <w:p w14:paraId="749A08A4">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内教学：校内教学内容以理论与模拟实践为主，系统讲解口腔工艺管理的流程、质量控制标准、设备维护与人员管理知识，引入企业实际案例分析；利用模拟开展生产流程规划、成本核算等模拟实训，让学生掌握基础管理方法与工具</w:t>
            </w:r>
          </w:p>
          <w:p w14:paraId="4F2FF2E0">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校外教学：校外教学内容围绕真实企业运营展开，学生深入义齿加工厂，参与生产计划制定、质量监督、设备管理等实际工作，学习企业先进管理模式与信息化管理系统应用</w:t>
            </w:r>
          </w:p>
        </w:tc>
        <w:tc>
          <w:tcPr>
            <w:tcW w:w="3299" w:type="dxa"/>
            <w:vAlign w:val="top"/>
          </w:tcPr>
          <w:p w14:paraId="46800FB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校内教学：教学要求学生熟悉口腔工艺管理的基本框架，能独立完成简单工艺项目的流程设计与成本估算，具备初步的管理思维与问题分析能力</w:t>
            </w:r>
          </w:p>
          <w:p w14:paraId="3D2F0839">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校外教学：教学要求学生能将理论知识灵活运用于实际管理场景，熟练执行企业管理规范，具备团队协作与沟通协调能力，适应行业管理岗位需求</w:t>
            </w:r>
          </w:p>
          <w:p w14:paraId="028D39F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tc>
      </w:tr>
      <w:tr w14:paraId="100F3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top"/>
          </w:tcPr>
          <w:p w14:paraId="35063277">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222F3D58">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3AB4CFCA">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1F8F061D">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41A03B47">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14313511">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56FFDCE7">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01BACE35">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1FEDB4EB">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7B072523">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35D89DF1">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6216294D">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5</w:t>
            </w:r>
          </w:p>
        </w:tc>
        <w:tc>
          <w:tcPr>
            <w:tcW w:w="1065" w:type="dxa"/>
            <w:vAlign w:val="top"/>
          </w:tcPr>
          <w:p w14:paraId="5854589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1E5B5F54">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587C92BD">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4496433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2A7B2F6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76576665">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23B03D7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64D90A2C">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职业资格考试（口技）</w:t>
            </w:r>
          </w:p>
        </w:tc>
        <w:tc>
          <w:tcPr>
            <w:tcW w:w="1875" w:type="dxa"/>
            <w:vAlign w:val="top"/>
          </w:tcPr>
          <w:p w14:paraId="688C7E4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本课程是对接职业准入标准的专项提升课程，紧扣口腔医学技术初级工、中级工职业资格考试大纲与行业准入要求，旨在帮助学生系统梳理专业核心知识、考点难点与岗位规范，夯实职业考试理论与技能基础，提升学生职业资格考试通过率，同时以考促学、以考促练，全面对标行业职业准入标准，强化学生岗位从业能力。</w:t>
            </w:r>
          </w:p>
        </w:tc>
        <w:tc>
          <w:tcPr>
            <w:tcW w:w="2595" w:type="dxa"/>
            <w:vAlign w:val="top"/>
          </w:tcPr>
          <w:p w14:paraId="09B93A1A">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内教学：围绕职业资格考试大纲开展系统化教学，涵盖口腔解剖生理学、口腔材料学、口腔工艺技术、数字化口腔技术、口腔卫生法规、职业操作规范等必考理论知识点，同时开展考试专项技能模拟实训、真题解析、考点梳理、易错点精讲、标准化技能模拟考核等内容，针对性补齐学生知识与技能短板。</w:t>
            </w:r>
          </w:p>
          <w:p w14:paraId="0314371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外教学：校外依托合作企业、考点实训基地开展实战化备考训练，结合企业岗位真实工作场景，对照职业资格实操考核标准，开展义齿制作、模型修整、数字化扫描、修复体调试等实操考点实训，对标企业岗前考核标准，完成全真模拟实操考核，实现考证技能与岗位实操技能无缝衔接。</w:t>
            </w:r>
          </w:p>
        </w:tc>
        <w:tc>
          <w:tcPr>
            <w:tcW w:w="3299" w:type="dxa"/>
            <w:vAlign w:val="top"/>
          </w:tcPr>
          <w:p w14:paraId="6D552FC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学生需熟练掌握职业资格考试全部核心理论考点与实操技能要点，熟记行业职业规范与卫生法规；能够高标准完成各项考试实操项目，熟练应对考试考核要求，顺利考取对应职业资格证书；同时将考证标准内化为人的职业操作规范，具备持证上岗、合规从业的职业能力。</w:t>
            </w:r>
          </w:p>
        </w:tc>
      </w:tr>
      <w:tr w14:paraId="6B85A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top"/>
          </w:tcPr>
          <w:p w14:paraId="4BD5DCE5">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0B282045">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215E7510">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1BC97470">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645F5B0E">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25DB1AEF">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01CB0EF2">
            <w:pPr>
              <w:keepNext w:val="0"/>
              <w:keepLines w:val="0"/>
              <w:pageBreakBefore w:val="0"/>
              <w:widowControl/>
              <w:kinsoku/>
              <w:wordWrap/>
              <w:overflowPunct w:val="0"/>
              <w:topLinePunct w:val="0"/>
              <w:autoSpaceDE w:val="0"/>
              <w:autoSpaceDN w:val="0"/>
              <w:bidi w:val="0"/>
              <w:adjustRightInd w:val="0"/>
              <w:snapToGrid w:val="0"/>
              <w:spacing w:line="240" w:lineRule="auto"/>
              <w:jc w:val="both"/>
              <w:textAlignment w:val="baseline"/>
              <w:rPr>
                <w:rFonts w:hint="eastAsia" w:ascii="楷体" w:hAnsi="楷体" w:eastAsia="楷体" w:cs="楷体"/>
                <w:b w:val="0"/>
                <w:bCs/>
                <w:color w:val="auto"/>
                <w:sz w:val="20"/>
                <w:szCs w:val="20"/>
                <w:lang w:val="en-US" w:eastAsia="zh-CN"/>
              </w:rPr>
            </w:pPr>
          </w:p>
          <w:p w14:paraId="710776AA">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4227C1C7">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6A37C310">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p>
          <w:p w14:paraId="1F3B5B3C">
            <w:pPr>
              <w:keepNext w:val="0"/>
              <w:keepLines w:val="0"/>
              <w:pageBreakBefore w:val="0"/>
              <w:widowControl/>
              <w:kinsoku/>
              <w:wordWrap/>
              <w:overflowPunct w:val="0"/>
              <w:topLinePunct w:val="0"/>
              <w:autoSpaceDE w:val="0"/>
              <w:autoSpaceDN w:val="0"/>
              <w:bidi w:val="0"/>
              <w:adjustRightInd w:val="0"/>
              <w:snapToGrid w:val="0"/>
              <w:spacing w:line="240" w:lineRule="auto"/>
              <w:ind w:firstLine="200" w:firstLineChars="10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6</w:t>
            </w:r>
          </w:p>
        </w:tc>
        <w:tc>
          <w:tcPr>
            <w:tcW w:w="1065" w:type="dxa"/>
            <w:vAlign w:val="center"/>
          </w:tcPr>
          <w:p w14:paraId="36DEF548">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30E9097C">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3EE42AD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6407CC5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岗前综合技能实训</w:t>
            </w:r>
          </w:p>
        </w:tc>
        <w:tc>
          <w:tcPr>
            <w:tcW w:w="1875" w:type="dxa"/>
            <w:vAlign w:val="top"/>
          </w:tcPr>
          <w:p w14:paraId="29152FE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通过本课程的学习，能够识别口腔修复常用材料的种类；能够应用印模材料和模型材料进行模型复制和灌注模型；能够应用蜡和树脂材料进行造型；能够进行固定、可摘、全口、数字化修复体的设计与制作</w:t>
            </w:r>
          </w:p>
        </w:tc>
        <w:tc>
          <w:tcPr>
            <w:tcW w:w="2595" w:type="dxa"/>
            <w:vAlign w:val="top"/>
          </w:tcPr>
          <w:p w14:paraId="6A7E0CB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校内教学：包括口腔修复的医技交流；口腔修复工艺的常用设备与器械；固定修复工艺技术；可摘局部义齿工艺技术；全口义齿工艺技术；种植义齿工艺技术等</w:t>
            </w:r>
          </w:p>
          <w:p w14:paraId="6F71760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校外教学：校外教学主要包括固定义齿生产线；全口义齿生产线；可摘局部义齿生产线</w:t>
            </w:r>
          </w:p>
          <w:p w14:paraId="5C2D559A">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32CA36ED">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tc>
        <w:tc>
          <w:tcPr>
            <w:tcW w:w="3299" w:type="dxa"/>
            <w:vAlign w:val="top"/>
          </w:tcPr>
          <w:p w14:paraId="7ACA19C5">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内教学：教师通过牙体、牙列缺损、缺失的病因、病理、临床表现、诊断、治疗和预防以及各种口腔修复体的制作方法的讲解，通过实验示教和动手操作，培养学生独立开展口腔常见牙体、牙列缺损、缺失修复体制作的工作</w:t>
            </w:r>
          </w:p>
          <w:p w14:paraId="148FE02A">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校外教学：能够在主管技师的指导下熟悉固定义齿、全口义齿、可摘局部义齿的部分生产</w:t>
            </w:r>
          </w:p>
          <w:p w14:paraId="5273F62F">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tc>
      </w:tr>
      <w:tr w14:paraId="5F38E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top"/>
          </w:tcPr>
          <w:p w14:paraId="7D227890">
            <w:pPr>
              <w:pStyle w:val="14"/>
              <w:keepNext w:val="0"/>
              <w:keepLines w:val="0"/>
              <w:pageBreakBefore w:val="0"/>
              <w:widowControl/>
              <w:kinsoku/>
              <w:wordWrap/>
              <w:topLinePunct w:val="0"/>
              <w:autoSpaceDE w:val="0"/>
              <w:autoSpaceDN w:val="0"/>
              <w:bidi w:val="0"/>
              <w:adjustRightInd w:val="0"/>
              <w:snapToGrid w:val="0"/>
              <w:textAlignment w:val="baseline"/>
              <w:rPr>
                <w:rFonts w:hint="eastAsia" w:eastAsia="宋体"/>
                <w:b w:val="0"/>
                <w:bCs/>
                <w:lang w:val="en-US" w:eastAsia="zh-CN"/>
              </w:rPr>
            </w:pPr>
          </w:p>
          <w:p w14:paraId="6A7C913B">
            <w:pPr>
              <w:pStyle w:val="14"/>
              <w:keepNext w:val="0"/>
              <w:keepLines w:val="0"/>
              <w:pageBreakBefore w:val="0"/>
              <w:widowControl/>
              <w:kinsoku/>
              <w:wordWrap/>
              <w:topLinePunct w:val="0"/>
              <w:autoSpaceDE w:val="0"/>
              <w:autoSpaceDN w:val="0"/>
              <w:bidi w:val="0"/>
              <w:adjustRightInd w:val="0"/>
              <w:snapToGrid w:val="0"/>
              <w:textAlignment w:val="baseline"/>
              <w:rPr>
                <w:rFonts w:hint="eastAsia" w:eastAsia="宋体"/>
                <w:b w:val="0"/>
                <w:bCs/>
                <w:lang w:val="en-US" w:eastAsia="zh-CN"/>
              </w:rPr>
            </w:pPr>
          </w:p>
          <w:p w14:paraId="5BF6F0A6">
            <w:pPr>
              <w:pStyle w:val="14"/>
              <w:keepNext w:val="0"/>
              <w:keepLines w:val="0"/>
              <w:pageBreakBefore w:val="0"/>
              <w:widowControl/>
              <w:kinsoku/>
              <w:wordWrap/>
              <w:topLinePunct w:val="0"/>
              <w:autoSpaceDE w:val="0"/>
              <w:autoSpaceDN w:val="0"/>
              <w:bidi w:val="0"/>
              <w:adjustRightInd w:val="0"/>
              <w:snapToGrid w:val="0"/>
              <w:textAlignment w:val="baseline"/>
              <w:rPr>
                <w:rFonts w:hint="eastAsia" w:eastAsia="宋体"/>
                <w:b w:val="0"/>
                <w:bCs/>
                <w:lang w:val="en-US" w:eastAsia="zh-CN"/>
              </w:rPr>
            </w:pPr>
          </w:p>
          <w:p w14:paraId="29F7D436">
            <w:pPr>
              <w:pStyle w:val="14"/>
              <w:keepNext w:val="0"/>
              <w:keepLines w:val="0"/>
              <w:pageBreakBefore w:val="0"/>
              <w:widowControl/>
              <w:kinsoku/>
              <w:wordWrap/>
              <w:topLinePunct w:val="0"/>
              <w:autoSpaceDE w:val="0"/>
              <w:autoSpaceDN w:val="0"/>
              <w:bidi w:val="0"/>
              <w:adjustRightInd w:val="0"/>
              <w:snapToGrid w:val="0"/>
              <w:textAlignment w:val="baseline"/>
              <w:rPr>
                <w:rFonts w:hint="eastAsia" w:eastAsia="宋体"/>
                <w:b w:val="0"/>
                <w:bCs/>
                <w:lang w:val="en-US" w:eastAsia="zh-CN"/>
              </w:rPr>
            </w:pPr>
          </w:p>
          <w:p w14:paraId="394045D9">
            <w:pPr>
              <w:pStyle w:val="14"/>
              <w:keepNext w:val="0"/>
              <w:keepLines w:val="0"/>
              <w:pageBreakBefore w:val="0"/>
              <w:widowControl/>
              <w:kinsoku/>
              <w:wordWrap/>
              <w:topLinePunct w:val="0"/>
              <w:autoSpaceDE w:val="0"/>
              <w:autoSpaceDN w:val="0"/>
              <w:bidi w:val="0"/>
              <w:adjustRightInd w:val="0"/>
              <w:snapToGrid w:val="0"/>
              <w:textAlignment w:val="baseline"/>
              <w:rPr>
                <w:rFonts w:hint="eastAsia" w:eastAsia="宋体"/>
                <w:b w:val="0"/>
                <w:bCs/>
                <w:lang w:val="en-US" w:eastAsia="zh-CN"/>
              </w:rPr>
            </w:pPr>
          </w:p>
          <w:p w14:paraId="0AEAAAD1">
            <w:pPr>
              <w:pStyle w:val="14"/>
              <w:keepNext w:val="0"/>
              <w:keepLines w:val="0"/>
              <w:pageBreakBefore w:val="0"/>
              <w:widowControl/>
              <w:kinsoku/>
              <w:wordWrap/>
              <w:topLinePunct w:val="0"/>
              <w:autoSpaceDE w:val="0"/>
              <w:autoSpaceDN w:val="0"/>
              <w:bidi w:val="0"/>
              <w:adjustRightInd w:val="0"/>
              <w:snapToGrid w:val="0"/>
              <w:textAlignment w:val="baseline"/>
              <w:rPr>
                <w:rFonts w:hint="eastAsia" w:eastAsia="宋体"/>
                <w:b w:val="0"/>
                <w:bCs/>
                <w:lang w:val="en-US" w:eastAsia="zh-CN"/>
              </w:rPr>
            </w:pPr>
          </w:p>
          <w:p w14:paraId="0A7D4ACD">
            <w:pPr>
              <w:pStyle w:val="14"/>
              <w:keepNext w:val="0"/>
              <w:keepLines w:val="0"/>
              <w:pageBreakBefore w:val="0"/>
              <w:widowControl/>
              <w:kinsoku/>
              <w:wordWrap/>
              <w:topLinePunct w:val="0"/>
              <w:autoSpaceDE w:val="0"/>
              <w:autoSpaceDN w:val="0"/>
              <w:bidi w:val="0"/>
              <w:adjustRightInd w:val="0"/>
              <w:snapToGrid w:val="0"/>
              <w:textAlignment w:val="baseline"/>
              <w:rPr>
                <w:rFonts w:hint="eastAsia" w:eastAsia="宋体"/>
                <w:b w:val="0"/>
                <w:bCs/>
                <w:lang w:val="en-US" w:eastAsia="zh-CN"/>
              </w:rPr>
            </w:pPr>
          </w:p>
          <w:p w14:paraId="0D28A886">
            <w:pPr>
              <w:pStyle w:val="14"/>
              <w:keepNext w:val="0"/>
              <w:keepLines w:val="0"/>
              <w:pageBreakBefore w:val="0"/>
              <w:widowControl/>
              <w:kinsoku/>
              <w:wordWrap/>
              <w:topLinePunct w:val="0"/>
              <w:autoSpaceDE w:val="0"/>
              <w:autoSpaceDN w:val="0"/>
              <w:bidi w:val="0"/>
              <w:adjustRightInd w:val="0"/>
              <w:snapToGrid w:val="0"/>
              <w:ind w:firstLine="210" w:firstLineChars="100"/>
              <w:textAlignment w:val="baseline"/>
              <w:rPr>
                <w:rFonts w:hint="eastAsia" w:eastAsia="宋体"/>
                <w:b w:val="0"/>
                <w:bCs/>
                <w:lang w:val="en-US" w:eastAsia="zh-CN"/>
              </w:rPr>
            </w:pPr>
          </w:p>
          <w:p w14:paraId="2F6969CE">
            <w:pPr>
              <w:pStyle w:val="14"/>
              <w:keepNext w:val="0"/>
              <w:keepLines w:val="0"/>
              <w:pageBreakBefore w:val="0"/>
              <w:widowControl/>
              <w:kinsoku/>
              <w:wordWrap/>
              <w:topLinePunct w:val="0"/>
              <w:autoSpaceDE w:val="0"/>
              <w:autoSpaceDN w:val="0"/>
              <w:bidi w:val="0"/>
              <w:adjustRightInd w:val="0"/>
              <w:snapToGrid w:val="0"/>
              <w:ind w:firstLine="210" w:firstLineChars="100"/>
              <w:textAlignment w:val="baseline"/>
              <w:rPr>
                <w:rFonts w:hint="eastAsia" w:eastAsia="宋体"/>
                <w:b w:val="0"/>
                <w:bCs/>
                <w:lang w:val="en-US" w:eastAsia="zh-CN"/>
              </w:rPr>
            </w:pPr>
            <w:r>
              <w:rPr>
                <w:rFonts w:hint="eastAsia" w:eastAsia="宋体"/>
                <w:b w:val="0"/>
                <w:bCs/>
                <w:lang w:val="en-US" w:eastAsia="zh-CN"/>
              </w:rPr>
              <w:t>7</w:t>
            </w:r>
          </w:p>
        </w:tc>
        <w:tc>
          <w:tcPr>
            <w:tcW w:w="1065" w:type="dxa"/>
            <w:vAlign w:val="center"/>
          </w:tcPr>
          <w:p w14:paraId="45594EEC">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1DBD986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142D74AC">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1CFCFDA9">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46B4750D">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5B653D9C">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4A7A6A3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5B8A9E85">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市场营销</w:t>
            </w:r>
          </w:p>
        </w:tc>
        <w:tc>
          <w:tcPr>
            <w:tcW w:w="1875" w:type="dxa"/>
            <w:vAlign w:val="center"/>
          </w:tcPr>
          <w:p w14:paraId="1200AC75">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通过本课程的学习，掌握学科的基本概念、基本原理和基本方法，训练学生对知识的运用。了解市场营销学的知识体系与研究方法</w:t>
            </w:r>
          </w:p>
        </w:tc>
        <w:tc>
          <w:tcPr>
            <w:tcW w:w="2595" w:type="dxa"/>
            <w:vAlign w:val="center"/>
          </w:tcPr>
          <w:p w14:paraId="102BBAE8">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内教学：校内教学内容以市场营销基础理论与口腔行业营销方法学习为主，讲解市场调研、目标市场选择、产品策略、价格策略、渠道策略、促销策略等知识；结合口腔行业特点，分析口腔医疗机构、口腔产品的营销案例，开展营销方案设计实训</w:t>
            </w:r>
          </w:p>
          <w:p w14:paraId="1161FB0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外教学：校外教学内容围绕口腔行业市场营销实践展开，学生在口腔医疗机构、口腔器械公司等实习单位，参与市场调研、客户开发与维护、营销活动策划与执行等工作；学习利用新媒体、社群等渠道开展口腔产品与服务的推广</w:t>
            </w:r>
          </w:p>
          <w:p w14:paraId="754FDBBA">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tc>
        <w:tc>
          <w:tcPr>
            <w:tcW w:w="3299" w:type="dxa"/>
            <w:vAlign w:val="center"/>
          </w:tcPr>
          <w:p w14:paraId="32D26ACC">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校内教学：教学要求学生掌握市场营销基本理论与方法，能够针对口腔行业制定简单的营销方案，具备市场分析与营销策划的初步能力</w:t>
            </w:r>
          </w:p>
          <w:p w14:paraId="329AB1E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校外教学：引导和帮助学生培养营销理念，树立以顾客为中心的市场营销观念，系统掌握市场营销学的基本原理和方法，从而在经济活动实践中有效地组织义齿企业的经营活动，提高学生的销售技能和理念，也为学生的就业提供新的方向。要求学生能将市场营销理论灵活运用于口腔行业实际工作，有效开展市场推广与客户管理工作，具备较强的沟通能力与市场开拓能力</w:t>
            </w:r>
          </w:p>
          <w:p w14:paraId="227AA1AA">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tc>
      </w:tr>
      <w:tr w14:paraId="25A94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9456" w:type="dxa"/>
            <w:gridSpan w:val="5"/>
            <w:vAlign w:val="top"/>
          </w:tcPr>
          <w:p w14:paraId="1C4BA711">
            <w:pPr>
              <w:pStyle w:val="14"/>
              <w:keepNext w:val="0"/>
              <w:keepLines w:val="0"/>
              <w:pageBreakBefore w:val="0"/>
              <w:widowControl/>
              <w:kinsoku w:val="0"/>
              <w:wordWrap/>
              <w:overflowPunct/>
              <w:topLinePunct w:val="0"/>
              <w:autoSpaceDE w:val="0"/>
              <w:autoSpaceDN w:val="0"/>
              <w:bidi w:val="0"/>
              <w:adjustRightInd w:val="0"/>
              <w:snapToGrid w:val="0"/>
              <w:spacing w:before="0" w:beforeLines="50" w:after="0" w:afterLines="50" w:line="240" w:lineRule="auto"/>
              <w:textAlignment w:val="baseline"/>
            </w:pPr>
            <w:r>
              <w:rPr>
                <w:rFonts w:hint="eastAsia"/>
                <w:sz w:val="21"/>
                <w:szCs w:val="24"/>
              </w:rPr>
              <w:t>三段进阶式人才培养模式者可开设</w:t>
            </w:r>
            <w:r>
              <w:rPr>
                <w:rFonts w:hint="eastAsia" w:eastAsia="宋体"/>
                <w:sz w:val="21"/>
                <w:szCs w:val="24"/>
                <w:lang w:val="en-US" w:eastAsia="zh-CN"/>
              </w:rPr>
              <w:t>以下</w:t>
            </w:r>
            <w:r>
              <w:rPr>
                <w:rFonts w:hint="eastAsia"/>
                <w:sz w:val="21"/>
                <w:szCs w:val="24"/>
              </w:rPr>
              <w:t>企业课程</w:t>
            </w:r>
          </w:p>
        </w:tc>
      </w:tr>
      <w:tr w14:paraId="67A27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top"/>
          </w:tcPr>
          <w:p w14:paraId="2DFB46D0">
            <w:pPr>
              <w:pStyle w:val="14"/>
              <w:rPr>
                <w:rFonts w:hint="eastAsia" w:ascii="楷体" w:hAnsi="楷体" w:eastAsia="楷体" w:cs="楷体"/>
                <w:b w:val="0"/>
                <w:bCs/>
                <w:snapToGrid w:val="0"/>
                <w:color w:val="auto"/>
                <w:kern w:val="0"/>
                <w:sz w:val="20"/>
                <w:szCs w:val="20"/>
                <w:lang w:val="en-US" w:eastAsia="zh-CN" w:bidi="ar-SA"/>
              </w:rPr>
            </w:pPr>
          </w:p>
          <w:p w14:paraId="26901A52">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64EDCC42">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188837CF">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47370AEB">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2A7E1096">
            <w:pPr>
              <w:pStyle w:val="14"/>
              <w:ind w:firstLine="200" w:firstLineChars="100"/>
              <w:rPr>
                <w:rFonts w:hint="eastAsia" w:ascii="楷体" w:hAnsi="楷体" w:eastAsia="楷体" w:cs="楷体"/>
                <w:b w:val="0"/>
                <w:bCs/>
                <w:snapToGrid w:val="0"/>
                <w:color w:val="auto"/>
                <w:kern w:val="0"/>
                <w:sz w:val="20"/>
                <w:szCs w:val="20"/>
                <w:lang w:val="en-US" w:eastAsia="zh-CN" w:bidi="ar-SA"/>
              </w:rPr>
            </w:pPr>
            <w:r>
              <w:rPr>
                <w:rFonts w:hint="eastAsia" w:ascii="楷体" w:hAnsi="楷体" w:eastAsia="楷体" w:cs="楷体"/>
                <w:b w:val="0"/>
                <w:bCs/>
                <w:snapToGrid w:val="0"/>
                <w:color w:val="auto"/>
                <w:kern w:val="0"/>
                <w:sz w:val="20"/>
                <w:szCs w:val="20"/>
                <w:lang w:val="en-US" w:eastAsia="zh-CN" w:bidi="ar-SA"/>
              </w:rPr>
              <w:t>1</w:t>
            </w:r>
          </w:p>
        </w:tc>
        <w:tc>
          <w:tcPr>
            <w:tcW w:w="1065" w:type="dxa"/>
            <w:vAlign w:val="top"/>
          </w:tcPr>
          <w:p w14:paraId="3FB1712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7F7A1D45">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18101364">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7D1BE8B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75A9CF55">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00F5CB3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口腔固定修复工艺技术</w:t>
            </w:r>
          </w:p>
        </w:tc>
        <w:tc>
          <w:tcPr>
            <w:tcW w:w="1875" w:type="dxa"/>
            <w:vAlign w:val="top"/>
          </w:tcPr>
          <w:p w14:paraId="4FAF786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本课程企业教学以岗位实操赋能、适配企业生产标准为核心目标，对接义齿加工企业固定修复生产线真实岗位需求，聚焦高职高专口腔医学技术专业学生入企上岗能力培养，旨在让学生熟练掌握企业标准化固定义齿制作全流程实操技能，吃透企业生产工艺、精度标准与质检规范，快速具备独立完成固定修复体批量加工、精细化制作的岗位能力，契合企业技工岗位常态化生产工作要求。</w:t>
            </w:r>
          </w:p>
        </w:tc>
        <w:tc>
          <w:tcPr>
            <w:tcW w:w="2595" w:type="dxa"/>
            <w:vAlign w:val="top"/>
          </w:tcPr>
          <w:p w14:paraId="4FFC557C">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企业教学全程依托车间真实生产任务开展实操教学，核心内容包含企业标准下的基牙模型修整、蜡型雕刻与塑形、固定义齿包埋、铸造、打磨抛光、上瓷、烧结等全流程实操，重点实训全瓷冠、烤瓷冠、固定桥等常规固定修复体的精细化制作工艺，同步学习企业固定修复产品精度把控、瑕疵修正、成品质检流程，熟悉岗位生产分工、设备配套使用及车间标准化生产流程。</w:t>
            </w:r>
          </w:p>
        </w:tc>
        <w:tc>
          <w:tcPr>
            <w:tcW w:w="3299" w:type="dxa"/>
            <w:vAlign w:val="top"/>
          </w:tcPr>
          <w:p w14:paraId="28E26D7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学生需严格遵循企业生产规范与质量标准开展实操作业，熟练掌握各类固定修复体企业标准化制作工艺，精准把控修复体密合度、形态、色泽等核心精度指标；能够独立完成企业常规固定修复生产任务，熟练排查并修正制作过程中的常见瑕疵，适配企业批量生产、精细化加工的岗位要求，养成合规操作、精益求精的岗位作业习惯，达到企业初级技工上岗实操标准。</w:t>
            </w:r>
          </w:p>
        </w:tc>
      </w:tr>
      <w:tr w14:paraId="13D1E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top"/>
          </w:tcPr>
          <w:p w14:paraId="198BCC81">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19874ECC">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0F7E9AAF">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2C16B0EF">
            <w:pPr>
              <w:pStyle w:val="14"/>
              <w:ind w:firstLine="200" w:firstLineChars="100"/>
              <w:rPr>
                <w:rFonts w:hint="eastAsia" w:ascii="楷体" w:hAnsi="楷体" w:eastAsia="楷体" w:cs="楷体"/>
                <w:b w:val="0"/>
                <w:bCs/>
                <w:snapToGrid w:val="0"/>
                <w:color w:val="auto"/>
                <w:kern w:val="0"/>
                <w:sz w:val="20"/>
                <w:szCs w:val="20"/>
                <w:lang w:val="en-US" w:eastAsia="zh-CN" w:bidi="ar-SA"/>
              </w:rPr>
            </w:pPr>
            <w:r>
              <w:rPr>
                <w:rFonts w:hint="eastAsia" w:ascii="楷体" w:hAnsi="楷体" w:eastAsia="楷体" w:cs="楷体"/>
                <w:b w:val="0"/>
                <w:bCs/>
                <w:snapToGrid w:val="0"/>
                <w:color w:val="auto"/>
                <w:kern w:val="0"/>
                <w:sz w:val="20"/>
                <w:szCs w:val="20"/>
                <w:lang w:val="en-US" w:eastAsia="zh-CN" w:bidi="ar-SA"/>
              </w:rPr>
              <w:t>2</w:t>
            </w:r>
          </w:p>
        </w:tc>
        <w:tc>
          <w:tcPr>
            <w:tcW w:w="1065" w:type="dxa"/>
            <w:vAlign w:val="top"/>
          </w:tcPr>
          <w:p w14:paraId="47B11E6D">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78C9880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2524556C">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可摘局部义齿修复工艺技术</w:t>
            </w:r>
          </w:p>
        </w:tc>
        <w:tc>
          <w:tcPr>
            <w:tcW w:w="1875" w:type="dxa"/>
            <w:vAlign w:val="top"/>
          </w:tcPr>
          <w:p w14:paraId="3815FAD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本课程企业教学立足义齿企业可摘义齿核心生产岗位，以实战化、标准化、量产化实操培养为目标，帮助学生掌握企业可摘局部义齿标准化生产工艺与岗位实操技能，熟悉企业产品质量验收标准，具备独立完成可摘局部义齿设计辅助、制作加工、调试优化的实战能力，快速适配企业可摘修复技工岗位的生产工作模式。</w:t>
            </w:r>
          </w:p>
        </w:tc>
        <w:tc>
          <w:tcPr>
            <w:tcW w:w="2595" w:type="dxa"/>
            <w:vAlign w:val="top"/>
          </w:tcPr>
          <w:p w14:paraId="5139B6EF">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企业教学以真实临床订单为实训载体，重点开展企业标准的模型观测、观测线绘制、卡环设计与弯制、基托蜡型制作、装盒、去蜡、填胶、热处理、打磨抛光等可摘局部义齿全流程实操实训，针对性练习复杂病例可摘义齿适配调整、成品咬合调试、边缘修整等岗位核心技能，学习企业可摘义齿产品质检标准、常见生产问题整改方法及岗位协同作业规范。</w:t>
            </w:r>
          </w:p>
        </w:tc>
        <w:tc>
          <w:tcPr>
            <w:tcW w:w="3299" w:type="dxa"/>
            <w:vAlign w:val="top"/>
          </w:tcPr>
          <w:p w14:paraId="074BB20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学生需熟练掌握企业可摘局部义齿全套生产实操工艺，严格按照企业生产流程、技术参数与质量标准完成作业；能够独立处理常规生产问题，精准完成义齿咬合、边缘、形态的精细化调整，保障成品适配性与舒适度，熟练配合车间岗位协同工作，完全适配企业可摘义齿生产线常态化生产岗位需求。</w:t>
            </w:r>
          </w:p>
        </w:tc>
      </w:tr>
      <w:tr w14:paraId="435BB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top"/>
          </w:tcPr>
          <w:p w14:paraId="2ED343E5">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7014F6DC">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78862B43">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411C7E8B">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455BABFB">
            <w:pPr>
              <w:pStyle w:val="14"/>
              <w:ind w:firstLine="200" w:firstLineChars="100"/>
              <w:rPr>
                <w:rFonts w:hint="eastAsia" w:ascii="楷体" w:hAnsi="楷体" w:eastAsia="楷体" w:cs="楷体"/>
                <w:b w:val="0"/>
                <w:bCs/>
                <w:snapToGrid w:val="0"/>
                <w:color w:val="auto"/>
                <w:kern w:val="0"/>
                <w:sz w:val="20"/>
                <w:szCs w:val="20"/>
                <w:lang w:val="en-US" w:eastAsia="zh-CN" w:bidi="ar-SA"/>
              </w:rPr>
            </w:pPr>
            <w:r>
              <w:rPr>
                <w:rFonts w:hint="eastAsia" w:ascii="楷体" w:hAnsi="楷体" w:eastAsia="楷体" w:cs="楷体"/>
                <w:b w:val="0"/>
                <w:bCs/>
                <w:snapToGrid w:val="0"/>
                <w:color w:val="auto"/>
                <w:kern w:val="0"/>
                <w:sz w:val="20"/>
                <w:szCs w:val="20"/>
                <w:lang w:val="en-US" w:eastAsia="zh-CN" w:bidi="ar-SA"/>
              </w:rPr>
              <w:t>3</w:t>
            </w:r>
          </w:p>
        </w:tc>
        <w:tc>
          <w:tcPr>
            <w:tcW w:w="1065" w:type="dxa"/>
            <w:vAlign w:val="top"/>
          </w:tcPr>
          <w:p w14:paraId="0F42F9D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33FFA461">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3352C3C8">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6DC2A934">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2770909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口腔数字化技术</w:t>
            </w:r>
          </w:p>
        </w:tc>
        <w:tc>
          <w:tcPr>
            <w:tcW w:w="1875" w:type="dxa"/>
            <w:vAlign w:val="top"/>
          </w:tcPr>
          <w:p w14:paraId="4B66CFAA">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本课程企业教学聚焦数字化口腔企业前沿岗位实操需求，以培养学生数字化口腔量产实操能力为核心，依托企业高端数字化设备与真实项目，让学生熟练掌握企业主流数字化修复生产全流程技术，吃透行业数字化生产工艺标准，具备独立完成数字化扫描、设计、加工、质检的实战能力，适配企业数字化技工岗位智能化、精细化生产要求。</w:t>
            </w:r>
          </w:p>
        </w:tc>
        <w:tc>
          <w:tcPr>
            <w:tcW w:w="2595" w:type="dxa"/>
            <w:vAlign w:val="top"/>
          </w:tcPr>
          <w:p w14:paraId="03A5784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企业教学围绕企业真实数字化修复订单开展专项实操训练，主要包含企业高精度口内扫描、数字化模型数据修整、全瓷修复体数字化设计、CAM设备自动化切削、数字化修复体精细打磨与配色、数字化正畸模型数据处理、数字化产品误差检测与修正等核心实操内容，熟练操作企业主流CAD/CAM系统、数字化切削设备，掌握企业数字化生产标准化流程与工艺优化技巧。</w:t>
            </w:r>
          </w:p>
        </w:tc>
        <w:tc>
          <w:tcPr>
            <w:tcW w:w="3299" w:type="dxa"/>
            <w:vAlign w:val="top"/>
          </w:tcPr>
          <w:p w14:paraId="2B674968">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学生需熟练规范操作企业各类数字化口腔生产设备，严格执行企业数字化生产技术标准与精度要求，精准完成数字化修复全流程实操工作；能够快速识别数字化数据误差、设备操作问题并完成基础修正，熟练适配企业数字化量产节奏，具备数字化工艺优化思维与高效实操能力，达到企业数字化口腔技术岗位上岗标准。</w:t>
            </w:r>
          </w:p>
        </w:tc>
      </w:tr>
      <w:tr w14:paraId="46D35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top"/>
          </w:tcPr>
          <w:p w14:paraId="72EEEDEA">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243EA0AE">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459EBBAB">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52D53559">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5EA3F53B">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70817749">
            <w:pPr>
              <w:pStyle w:val="14"/>
              <w:ind w:firstLine="200" w:firstLineChars="100"/>
              <w:rPr>
                <w:rFonts w:hint="eastAsia" w:ascii="楷体" w:hAnsi="楷体" w:eastAsia="楷体" w:cs="楷体"/>
                <w:b w:val="0"/>
                <w:bCs/>
                <w:snapToGrid w:val="0"/>
                <w:color w:val="auto"/>
                <w:kern w:val="0"/>
                <w:sz w:val="20"/>
                <w:szCs w:val="20"/>
                <w:lang w:val="en-US" w:eastAsia="zh-CN" w:bidi="ar-SA"/>
              </w:rPr>
            </w:pPr>
            <w:r>
              <w:rPr>
                <w:rFonts w:hint="eastAsia" w:ascii="楷体" w:hAnsi="楷体" w:eastAsia="楷体" w:cs="楷体"/>
                <w:b w:val="0"/>
                <w:bCs/>
                <w:snapToGrid w:val="0"/>
                <w:color w:val="auto"/>
                <w:kern w:val="0"/>
                <w:sz w:val="20"/>
                <w:szCs w:val="20"/>
                <w:lang w:val="en-US" w:eastAsia="zh-CN" w:bidi="ar-SA"/>
              </w:rPr>
              <w:t>4</w:t>
            </w:r>
          </w:p>
        </w:tc>
        <w:tc>
          <w:tcPr>
            <w:tcW w:w="1065" w:type="dxa"/>
            <w:vAlign w:val="top"/>
          </w:tcPr>
          <w:p w14:paraId="449589F4">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70B4DB5F">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1EE6D98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625B09B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6D66CF2E">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3C54E52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口腔设备学</w:t>
            </w:r>
          </w:p>
        </w:tc>
        <w:tc>
          <w:tcPr>
            <w:tcW w:w="1875" w:type="dxa"/>
            <w:vAlign w:val="top"/>
          </w:tcPr>
          <w:p w14:paraId="3313CF5A">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本课程企业教学立足企业车间设备运维、规范操作、安全生产的核心需求，以岗位实操应用为导向，让学生熟练掌握企业口腔生产、诊疗类主流设备的标准化操作、日常养护、基础运维技能，具备设备规范使用、故障预判、日常管护的岗位能力，保障车间生产高效、安全、规范开展，适配企业技工岗位设备实操基本要求。</w:t>
            </w:r>
          </w:p>
        </w:tc>
        <w:tc>
          <w:tcPr>
            <w:tcW w:w="2595" w:type="dxa"/>
            <w:vAlign w:val="top"/>
          </w:tcPr>
          <w:p w14:paraId="15CEA577">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企业教学以车间在用生产设备为核心开展实操实训，重点学习企业烤瓷炉、铸造机、打磨抛光机、真空压膜机、口扫设备、数字化切削设备等各类口腔生产设备的岗位标准化操作流程、设备参数调试、日常清洁消毒、耗材更换、定期养护方法，实操练习设备常见简易故障识别、基础排查与上报处理，掌握企业设备安全操作规范、用电安全及设备存放管理制度。</w:t>
            </w:r>
          </w:p>
        </w:tc>
        <w:tc>
          <w:tcPr>
            <w:tcW w:w="3299" w:type="dxa"/>
            <w:vAlign w:val="top"/>
          </w:tcPr>
          <w:p w14:paraId="4B9BBE3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学生需熟练、规范操作企业所有常规口腔生产设备，精准把控设备运行参数，严格遵守企业设备安全操作与运维制度；能够独立完成设备日常养护、清洁消毒工作，精准识别设备常见简易故障并及时上报处置，杜绝违规操作与设备安全隐患，养成安全、规范、节约的设备操作职业习惯，满足企业岗位设备实操需求。</w:t>
            </w:r>
          </w:p>
        </w:tc>
      </w:tr>
      <w:tr w14:paraId="02BC3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622" w:type="dxa"/>
            <w:vAlign w:val="top"/>
          </w:tcPr>
          <w:p w14:paraId="0D974AFD">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27AAFFB4">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3B451EA2">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4A696BE8">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56154323">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7BDEF72E">
            <w:pPr>
              <w:pStyle w:val="14"/>
              <w:ind w:firstLine="200" w:firstLineChars="100"/>
              <w:rPr>
                <w:rFonts w:hint="eastAsia" w:ascii="楷体" w:hAnsi="楷体" w:eastAsia="楷体" w:cs="楷体"/>
                <w:b w:val="0"/>
                <w:bCs/>
                <w:snapToGrid w:val="0"/>
                <w:color w:val="auto"/>
                <w:kern w:val="0"/>
                <w:sz w:val="20"/>
                <w:szCs w:val="20"/>
                <w:lang w:val="en-US" w:eastAsia="zh-CN" w:bidi="ar-SA"/>
              </w:rPr>
            </w:pPr>
          </w:p>
          <w:p w14:paraId="690F4812">
            <w:pPr>
              <w:pStyle w:val="14"/>
              <w:ind w:firstLine="200" w:firstLineChars="100"/>
              <w:rPr>
                <w:rFonts w:hint="eastAsia" w:ascii="楷体" w:hAnsi="楷体" w:eastAsia="楷体" w:cs="楷体"/>
                <w:b w:val="0"/>
                <w:bCs/>
                <w:snapToGrid w:val="0"/>
                <w:color w:val="auto"/>
                <w:kern w:val="0"/>
                <w:sz w:val="20"/>
                <w:szCs w:val="20"/>
                <w:lang w:val="en-US" w:eastAsia="zh-CN" w:bidi="ar-SA"/>
              </w:rPr>
            </w:pPr>
            <w:r>
              <w:rPr>
                <w:rFonts w:hint="eastAsia" w:ascii="楷体" w:hAnsi="楷体" w:eastAsia="楷体" w:cs="楷体"/>
                <w:b w:val="0"/>
                <w:bCs/>
                <w:snapToGrid w:val="0"/>
                <w:color w:val="auto"/>
                <w:kern w:val="0"/>
                <w:sz w:val="20"/>
                <w:szCs w:val="20"/>
                <w:lang w:val="en-US" w:eastAsia="zh-CN" w:bidi="ar-SA"/>
              </w:rPr>
              <w:t>5</w:t>
            </w:r>
          </w:p>
        </w:tc>
        <w:tc>
          <w:tcPr>
            <w:tcW w:w="1065" w:type="dxa"/>
            <w:vAlign w:val="top"/>
          </w:tcPr>
          <w:p w14:paraId="53C688C6">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44C2E889">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561DAEC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0EA16A62">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46FCA0AB">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688A22B4">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p>
          <w:p w14:paraId="3D7B32D0">
            <w:pPr>
              <w:keepNext w:val="0"/>
              <w:keepLines w:val="0"/>
              <w:pageBreakBefore w:val="0"/>
              <w:widowControl/>
              <w:kinsoku/>
              <w:wordWrap/>
              <w:overflowPunct/>
              <w:topLinePunct w:val="0"/>
              <w:autoSpaceDE w:val="0"/>
              <w:autoSpaceDN w:val="0"/>
              <w:bidi w:val="0"/>
              <w:adjustRightInd w:val="0"/>
              <w:snapToGrid w:val="0"/>
              <w:jc w:val="both"/>
              <w:textAlignment w:val="baseline"/>
              <w:rPr>
                <w:rFonts w:hint="default"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岗前技能综合实训</w:t>
            </w:r>
          </w:p>
        </w:tc>
        <w:tc>
          <w:tcPr>
            <w:tcW w:w="1875" w:type="dxa"/>
            <w:vAlign w:val="top"/>
          </w:tcPr>
          <w:p w14:paraId="7F26C473">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本课程企业教学是学生入企上岗的综合性实战实训课程，紧扣企业新员工岗前培训标准，以岗位全真实操、能力闭环提升为核心目标，全面整合各类口腔修复、数字化技术、工艺管理等专业技能，补齐学生岗位实操短板、生产经验短板，全面提升学生岗位适配度、生产熟练度与质量把控能力，实现校园技能到企业上岗能力的无缝衔接。</w:t>
            </w:r>
          </w:p>
        </w:tc>
        <w:tc>
          <w:tcPr>
            <w:tcW w:w="2595" w:type="dxa"/>
            <w:vAlign w:val="top"/>
          </w:tcPr>
          <w:p w14:paraId="56C4C804">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企业教学依托企业全品类口腔修复生产订单开展综合实训，涵盖固定义齿、可摘义齿、数字化修复体、正畸辅助器件等全品类产品的全流程实操生产，重点实训企业批量生产作业、产品精细化加工、成品自检互检、岗位流程衔接、生产效率把控、常见岗位问题应急处理、车间标准化作业等实战内容，同步熟悉企业规章制度、生产规范、质检标准与岗位协作模式。</w:t>
            </w:r>
          </w:p>
        </w:tc>
        <w:tc>
          <w:tcPr>
            <w:tcW w:w="3299" w:type="dxa"/>
            <w:vAlign w:val="top"/>
          </w:tcPr>
          <w:p w14:paraId="2C473A5A">
            <w:pPr>
              <w:keepNext w:val="0"/>
              <w:keepLines w:val="0"/>
              <w:pageBreakBefore w:val="0"/>
              <w:widowControl/>
              <w:kinsoku/>
              <w:wordWrap/>
              <w:overflowPunct/>
              <w:topLinePunct w:val="0"/>
              <w:autoSpaceDE w:val="0"/>
              <w:autoSpaceDN w:val="0"/>
              <w:bidi w:val="0"/>
              <w:adjustRightInd w:val="0"/>
              <w:snapToGrid w:val="0"/>
              <w:jc w:val="both"/>
              <w:textAlignment w:val="baseline"/>
              <w:rPr>
                <w:rFonts w:hint="eastAsia" w:ascii="楷体" w:hAnsi="楷体" w:eastAsia="楷体" w:cs="楷体"/>
                <w:b w:val="0"/>
                <w:bCs/>
                <w:color w:val="auto"/>
                <w:sz w:val="20"/>
                <w:szCs w:val="20"/>
                <w:lang w:val="en-US" w:eastAsia="zh-CN"/>
              </w:rPr>
            </w:pPr>
            <w:r>
              <w:rPr>
                <w:rFonts w:hint="eastAsia" w:ascii="楷体" w:hAnsi="楷体" w:eastAsia="楷体" w:cs="楷体"/>
                <w:b w:val="0"/>
                <w:bCs/>
                <w:color w:val="auto"/>
                <w:sz w:val="20"/>
                <w:szCs w:val="20"/>
                <w:lang w:val="en-US" w:eastAsia="zh-CN"/>
              </w:rPr>
              <w:t>学生需完全按照企业正式员工标准开展全真岗位实操，熟练、独立完成各类常规口腔技术生产任务，严格遵守企业生产流程、工艺标准、质检要求与管理制度；具备独立处理岗位常见问题、高效完成批量生产、精准把控产品质量的综合能力，具备严谨的工匠精神与团队协作素养，完全达标企业新员工上岗实操考核标准。</w:t>
            </w:r>
          </w:p>
        </w:tc>
      </w:tr>
    </w:tbl>
    <w:p w14:paraId="5A99D1C9">
      <w:pPr>
        <w:pStyle w:val="4"/>
        <w:spacing w:before="181" w:line="226" w:lineRule="auto"/>
        <w:ind w:firstLine="560" w:firstLineChars="200"/>
        <w:jc w:val="both"/>
        <w:rPr>
          <w:rFonts w:hint="default" w:ascii="仿宋_GB2312" w:eastAsia="仿宋_GB2312"/>
          <w:b w:val="0"/>
          <w:bCs/>
          <w:color w:val="auto"/>
          <w:sz w:val="28"/>
          <w:szCs w:val="28"/>
          <w:lang w:val="en-US" w:eastAsia="zh-CN"/>
        </w:rPr>
      </w:pPr>
      <w:r>
        <w:rPr>
          <w:rFonts w:hint="eastAsia" w:ascii="仿宋_GB2312" w:eastAsia="仿宋_GB2312"/>
          <w:b w:val="0"/>
          <w:bCs/>
          <w:color w:val="auto"/>
          <w:sz w:val="28"/>
          <w:szCs w:val="28"/>
          <w:lang w:val="en-US" w:eastAsia="zh-CN"/>
        </w:rPr>
        <w:t>2026级学生拟进行“1.5+0.5+1”三段进阶式人才培养模式者，公共基础课与专业基础课需在“1.5”阶段，在校内完成；部分专业核心课与专业拓展课程为定制化行业企业课程，需在“0.5”阶段，由行业、企业导师授课，需将行业、企业实际项目、工作流程、新技术等融入教学内容，同时，邀请行业、企业技术骨干参与课程标准制定，确保课程内容的实用性与先进性。</w:t>
      </w:r>
    </w:p>
    <w:p w14:paraId="421D94ED">
      <w:pPr>
        <w:spacing w:line="38" w:lineRule="auto"/>
        <w:rPr>
          <w:rFonts w:hint="eastAsia" w:ascii="Arial" w:eastAsia="宋体"/>
          <w:sz w:val="2"/>
          <w:lang w:eastAsia="zh-CN"/>
        </w:rPr>
      </w:pPr>
      <w:r>
        <w:rPr>
          <w:rFonts w:hint="eastAsia" w:eastAsia="宋体"/>
          <w:b/>
          <w:bCs/>
          <w:spacing w:val="-1"/>
          <w:lang w:eastAsia="zh-CN"/>
        </w:rPr>
        <w:t>、</w:t>
      </w:r>
    </w:p>
    <w:p w14:paraId="1C736F3D">
      <w:pPr>
        <w:pStyle w:val="2"/>
        <w:keepNext/>
        <w:keepLines/>
        <w:pageBreakBefore w:val="0"/>
        <w:widowControl/>
        <w:kinsoku w:val="0"/>
        <w:wordWrap/>
        <w:overflowPunct/>
        <w:topLinePunct w:val="0"/>
        <w:autoSpaceDE w:val="0"/>
        <w:autoSpaceDN w:val="0"/>
        <w:bidi w:val="0"/>
        <w:adjustRightInd w:val="0"/>
        <w:snapToGrid w:val="0"/>
        <w:spacing w:line="240" w:lineRule="auto"/>
        <w:textAlignment w:val="baseline"/>
      </w:pPr>
      <w:bookmarkStart w:id="23" w:name="_Toc22612"/>
      <w:bookmarkStart w:id="24" w:name="_Toc838"/>
      <w:r>
        <w:t>七、教学进程总体安排</w:t>
      </w:r>
      <w:bookmarkEnd w:id="23"/>
      <w:bookmarkEnd w:id="24"/>
    </w:p>
    <w:p w14:paraId="4889DB2D">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25" w:name="_Toc12697"/>
      <w:bookmarkStart w:id="26" w:name="_Toc1601"/>
      <w:r>
        <w:t>（一）教学周数安排表</w:t>
      </w:r>
      <w:bookmarkEnd w:id="25"/>
      <w:bookmarkEnd w:id="26"/>
    </w:p>
    <w:p w14:paraId="65386F80">
      <w:pPr>
        <w:spacing w:line="49" w:lineRule="auto"/>
        <w:rPr>
          <w:rFonts w:ascii="Arial"/>
          <w:sz w:val="2"/>
        </w:rPr>
      </w:pPr>
    </w:p>
    <w:tbl>
      <w:tblPr>
        <w:tblStyle w:val="13"/>
        <w:tblW w:w="80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5"/>
        <w:gridCol w:w="938"/>
        <w:gridCol w:w="738"/>
        <w:gridCol w:w="942"/>
        <w:gridCol w:w="743"/>
        <w:gridCol w:w="841"/>
        <w:gridCol w:w="1113"/>
        <w:gridCol w:w="879"/>
        <w:gridCol w:w="884"/>
      </w:tblGrid>
      <w:tr w14:paraId="45D14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935" w:type="dxa"/>
            <w:tcBorders>
              <w:top w:val="single" w:color="auto" w:sz="4" w:space="0"/>
              <w:left w:val="single" w:color="auto" w:sz="4" w:space="0"/>
              <w:bottom w:val="single" w:color="auto" w:sz="4" w:space="0"/>
              <w:right w:val="single" w:color="auto" w:sz="4" w:space="0"/>
            </w:tcBorders>
            <w:vAlign w:val="center"/>
          </w:tcPr>
          <w:p w14:paraId="57AC1201">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学年</w:t>
            </w:r>
          </w:p>
        </w:tc>
        <w:tc>
          <w:tcPr>
            <w:tcW w:w="938" w:type="dxa"/>
            <w:tcBorders>
              <w:top w:val="single" w:color="auto" w:sz="4" w:space="0"/>
              <w:left w:val="single" w:color="auto" w:sz="4" w:space="0"/>
              <w:bottom w:val="single" w:color="auto" w:sz="4" w:space="0"/>
              <w:right w:val="single" w:color="auto" w:sz="4" w:space="0"/>
            </w:tcBorders>
            <w:vAlign w:val="center"/>
          </w:tcPr>
          <w:p w14:paraId="471E377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学期</w:t>
            </w:r>
          </w:p>
        </w:tc>
        <w:tc>
          <w:tcPr>
            <w:tcW w:w="738" w:type="dxa"/>
            <w:tcBorders>
              <w:top w:val="single" w:color="auto" w:sz="4" w:space="0"/>
              <w:left w:val="single" w:color="auto" w:sz="4" w:space="0"/>
              <w:bottom w:val="single" w:color="auto" w:sz="4" w:space="0"/>
              <w:right w:val="single" w:color="auto" w:sz="4" w:space="0"/>
            </w:tcBorders>
            <w:vAlign w:val="center"/>
          </w:tcPr>
          <w:p w14:paraId="7A4C7E0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教学</w:t>
            </w:r>
          </w:p>
        </w:tc>
        <w:tc>
          <w:tcPr>
            <w:tcW w:w="942" w:type="dxa"/>
            <w:tcBorders>
              <w:top w:val="single" w:color="auto" w:sz="4" w:space="0"/>
              <w:left w:val="single" w:color="auto" w:sz="4" w:space="0"/>
              <w:bottom w:val="single" w:color="auto" w:sz="4" w:space="0"/>
              <w:right w:val="single" w:color="auto" w:sz="4" w:space="0"/>
            </w:tcBorders>
            <w:vAlign w:val="center"/>
          </w:tcPr>
          <w:p w14:paraId="2082400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复习考试</w:t>
            </w:r>
          </w:p>
        </w:tc>
        <w:tc>
          <w:tcPr>
            <w:tcW w:w="743" w:type="dxa"/>
            <w:tcBorders>
              <w:top w:val="single" w:color="auto" w:sz="4" w:space="0"/>
              <w:left w:val="single" w:color="auto" w:sz="4" w:space="0"/>
              <w:bottom w:val="single" w:color="auto" w:sz="4" w:space="0"/>
              <w:right w:val="single" w:color="auto" w:sz="4" w:space="0"/>
            </w:tcBorders>
            <w:vAlign w:val="center"/>
          </w:tcPr>
          <w:p w14:paraId="5B87C32E">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教学</w:t>
            </w:r>
          </w:p>
          <w:p w14:paraId="61DE1109">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见习</w:t>
            </w:r>
          </w:p>
        </w:tc>
        <w:tc>
          <w:tcPr>
            <w:tcW w:w="841" w:type="dxa"/>
            <w:tcBorders>
              <w:top w:val="single" w:color="auto" w:sz="4" w:space="0"/>
              <w:left w:val="single" w:color="auto" w:sz="4" w:space="0"/>
              <w:bottom w:val="single" w:color="auto" w:sz="4" w:space="0"/>
              <w:right w:val="single" w:color="auto" w:sz="4" w:space="0"/>
            </w:tcBorders>
            <w:vAlign w:val="center"/>
          </w:tcPr>
          <w:p w14:paraId="4E223A78">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毕业</w:t>
            </w:r>
          </w:p>
          <w:p w14:paraId="4CE97AE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实习</w:t>
            </w:r>
          </w:p>
        </w:tc>
        <w:tc>
          <w:tcPr>
            <w:tcW w:w="1113" w:type="dxa"/>
            <w:tcBorders>
              <w:top w:val="single" w:color="auto" w:sz="4" w:space="0"/>
              <w:left w:val="single" w:color="auto" w:sz="4" w:space="0"/>
              <w:bottom w:val="single" w:color="auto" w:sz="4" w:space="0"/>
              <w:right w:val="single" w:color="auto" w:sz="4" w:space="0"/>
            </w:tcBorders>
            <w:vAlign w:val="center"/>
          </w:tcPr>
          <w:p w14:paraId="1E710C8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运动会</w:t>
            </w:r>
          </w:p>
          <w:p w14:paraId="68F8F412">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或长假</w:t>
            </w:r>
          </w:p>
        </w:tc>
        <w:tc>
          <w:tcPr>
            <w:tcW w:w="879" w:type="dxa"/>
            <w:tcBorders>
              <w:top w:val="single" w:color="auto" w:sz="4" w:space="0"/>
              <w:left w:val="single" w:color="auto" w:sz="4" w:space="0"/>
              <w:bottom w:val="single" w:color="auto" w:sz="4" w:space="0"/>
              <w:right w:val="single" w:color="auto" w:sz="4" w:space="0"/>
            </w:tcBorders>
            <w:vAlign w:val="center"/>
          </w:tcPr>
          <w:p w14:paraId="5B148244">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社会实践</w:t>
            </w:r>
          </w:p>
        </w:tc>
        <w:tc>
          <w:tcPr>
            <w:tcW w:w="884" w:type="dxa"/>
            <w:tcBorders>
              <w:top w:val="single" w:color="auto" w:sz="4" w:space="0"/>
              <w:left w:val="single" w:color="auto" w:sz="4" w:space="0"/>
              <w:bottom w:val="single" w:color="auto" w:sz="4" w:space="0"/>
              <w:right w:val="single" w:color="auto" w:sz="4" w:space="0"/>
            </w:tcBorders>
            <w:vAlign w:val="center"/>
          </w:tcPr>
          <w:p w14:paraId="300219F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楷体" w:hAnsi="楷体" w:eastAsia="楷体" w:cs="楷体"/>
                <w:b/>
                <w:bCs/>
                <w:spacing w:val="-2"/>
                <w:sz w:val="20"/>
                <w:szCs w:val="20"/>
                <w:lang w:val="en-US" w:eastAsia="zh-CN"/>
              </w:rPr>
            </w:pPr>
            <w:r>
              <w:rPr>
                <w:rFonts w:ascii="楷体" w:hAnsi="楷体" w:eastAsia="楷体" w:cs="楷体"/>
                <w:b/>
                <w:bCs/>
                <w:spacing w:val="-2"/>
                <w:sz w:val="20"/>
                <w:szCs w:val="20"/>
                <w:lang w:val="en-US" w:eastAsia="zh-CN"/>
              </w:rPr>
              <w:t>合计</w:t>
            </w:r>
          </w:p>
        </w:tc>
      </w:tr>
      <w:tr w14:paraId="37184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935" w:type="dxa"/>
            <w:vMerge w:val="restart"/>
            <w:tcBorders>
              <w:top w:val="single" w:color="auto" w:sz="4" w:space="0"/>
              <w:left w:val="single" w:color="auto" w:sz="4" w:space="0"/>
              <w:bottom w:val="single" w:color="auto" w:sz="4" w:space="0"/>
              <w:right w:val="single" w:color="auto" w:sz="4" w:space="0"/>
            </w:tcBorders>
            <w:vAlign w:val="center"/>
          </w:tcPr>
          <w:p w14:paraId="61A7BF03">
            <w:pPr>
              <w:spacing w:before="65" w:line="151" w:lineRule="exact"/>
              <w:jc w:val="center"/>
              <w:rPr>
                <w:rFonts w:ascii="楷体" w:hAnsi="楷体" w:eastAsia="楷体" w:cs="楷体"/>
                <w:b w:val="0"/>
                <w:bCs/>
                <w:sz w:val="20"/>
                <w:szCs w:val="20"/>
              </w:rPr>
            </w:pPr>
            <w:r>
              <w:rPr>
                <w:rFonts w:ascii="楷体" w:hAnsi="楷体" w:eastAsia="楷体" w:cs="楷体"/>
                <w:b w:val="0"/>
                <w:bCs/>
                <w:position w:val="-3"/>
                <w:sz w:val="20"/>
                <w:szCs w:val="20"/>
              </w:rPr>
              <w:t>一</w:t>
            </w:r>
          </w:p>
        </w:tc>
        <w:tc>
          <w:tcPr>
            <w:tcW w:w="938" w:type="dxa"/>
            <w:tcBorders>
              <w:top w:val="single" w:color="auto" w:sz="4" w:space="0"/>
              <w:left w:val="single" w:color="auto" w:sz="4" w:space="0"/>
              <w:bottom w:val="single" w:color="auto" w:sz="4" w:space="0"/>
              <w:right w:val="single" w:color="auto" w:sz="4" w:space="0"/>
            </w:tcBorders>
            <w:vAlign w:val="center"/>
          </w:tcPr>
          <w:p w14:paraId="53D74439">
            <w:pPr>
              <w:spacing w:before="65" w:line="190" w:lineRule="auto"/>
              <w:jc w:val="center"/>
              <w:rPr>
                <w:rFonts w:ascii="楷体" w:hAnsi="楷体" w:eastAsia="楷体" w:cs="楷体"/>
                <w:b w:val="0"/>
                <w:bCs/>
                <w:sz w:val="20"/>
                <w:szCs w:val="20"/>
              </w:rPr>
            </w:pPr>
            <w:r>
              <w:rPr>
                <w:rFonts w:ascii="楷体" w:hAnsi="楷体" w:eastAsia="楷体" w:cs="楷体"/>
                <w:b w:val="0"/>
                <w:bCs/>
                <w:sz w:val="20"/>
                <w:szCs w:val="20"/>
              </w:rPr>
              <w:t>1</w:t>
            </w:r>
          </w:p>
        </w:tc>
        <w:tc>
          <w:tcPr>
            <w:tcW w:w="738" w:type="dxa"/>
            <w:tcBorders>
              <w:top w:val="single" w:color="auto" w:sz="4" w:space="0"/>
              <w:left w:val="single" w:color="auto" w:sz="4" w:space="0"/>
              <w:bottom w:val="single" w:color="auto" w:sz="4" w:space="0"/>
              <w:right w:val="single" w:color="auto" w:sz="4" w:space="0"/>
            </w:tcBorders>
            <w:vAlign w:val="center"/>
          </w:tcPr>
          <w:p w14:paraId="774291B7">
            <w:pPr>
              <w:spacing w:before="65" w:line="191" w:lineRule="auto"/>
              <w:jc w:val="center"/>
              <w:rPr>
                <w:rFonts w:hint="eastAsia" w:ascii="楷体" w:hAnsi="楷体" w:eastAsia="楷体" w:cs="楷体"/>
                <w:b w:val="0"/>
                <w:bCs/>
                <w:sz w:val="20"/>
                <w:szCs w:val="20"/>
                <w:lang w:eastAsia="zh-CN"/>
              </w:rPr>
            </w:pPr>
            <w:r>
              <w:rPr>
                <w:rFonts w:ascii="楷体" w:hAnsi="楷体" w:eastAsia="楷体" w:cs="楷体"/>
                <w:b w:val="0"/>
                <w:bCs/>
                <w:spacing w:val="-5"/>
                <w:sz w:val="20"/>
                <w:szCs w:val="20"/>
              </w:rPr>
              <w:t>1</w:t>
            </w:r>
            <w:r>
              <w:rPr>
                <w:rFonts w:hint="eastAsia" w:ascii="楷体" w:hAnsi="楷体" w:eastAsia="楷体" w:cs="楷体"/>
                <w:b w:val="0"/>
                <w:bCs/>
                <w:spacing w:val="-5"/>
                <w:sz w:val="20"/>
                <w:szCs w:val="20"/>
                <w:lang w:val="en-US" w:eastAsia="zh-CN"/>
              </w:rPr>
              <w:t>6</w:t>
            </w:r>
          </w:p>
        </w:tc>
        <w:tc>
          <w:tcPr>
            <w:tcW w:w="942" w:type="dxa"/>
            <w:tcBorders>
              <w:top w:val="single" w:color="auto" w:sz="4" w:space="0"/>
              <w:left w:val="single" w:color="auto" w:sz="4" w:space="0"/>
              <w:bottom w:val="single" w:color="auto" w:sz="4" w:space="0"/>
              <w:right w:val="single" w:color="auto" w:sz="4" w:space="0"/>
            </w:tcBorders>
            <w:vAlign w:val="center"/>
          </w:tcPr>
          <w:p w14:paraId="7754CEDC">
            <w:pPr>
              <w:spacing w:before="65" w:line="191" w:lineRule="auto"/>
              <w:jc w:val="center"/>
              <w:rPr>
                <w:rFonts w:hint="eastAsia" w:ascii="楷体" w:hAnsi="楷体" w:eastAsia="楷体" w:cs="楷体"/>
                <w:b w:val="0"/>
                <w:bCs/>
                <w:sz w:val="20"/>
                <w:szCs w:val="20"/>
                <w:lang w:eastAsia="zh-CN"/>
              </w:rPr>
            </w:pPr>
            <w:r>
              <w:rPr>
                <w:rFonts w:hint="eastAsia" w:ascii="楷体" w:hAnsi="楷体" w:eastAsia="楷体" w:cs="楷体"/>
                <w:b w:val="0"/>
                <w:bCs/>
                <w:sz w:val="20"/>
                <w:szCs w:val="20"/>
                <w:lang w:val="en-US" w:eastAsia="zh-CN"/>
              </w:rPr>
              <w:t>2</w:t>
            </w:r>
          </w:p>
        </w:tc>
        <w:tc>
          <w:tcPr>
            <w:tcW w:w="743" w:type="dxa"/>
            <w:tcBorders>
              <w:top w:val="single" w:color="auto" w:sz="4" w:space="0"/>
              <w:left w:val="single" w:color="auto" w:sz="4" w:space="0"/>
              <w:bottom w:val="single" w:color="auto" w:sz="4" w:space="0"/>
              <w:right w:val="single" w:color="auto" w:sz="4" w:space="0"/>
            </w:tcBorders>
            <w:vAlign w:val="center"/>
          </w:tcPr>
          <w:p w14:paraId="7DA602B3">
            <w:pPr>
              <w:pStyle w:val="14"/>
              <w:jc w:val="center"/>
              <w:rPr>
                <w:b w:val="0"/>
                <w:bCs/>
              </w:rPr>
            </w:pPr>
          </w:p>
        </w:tc>
        <w:tc>
          <w:tcPr>
            <w:tcW w:w="841" w:type="dxa"/>
            <w:tcBorders>
              <w:top w:val="single" w:color="auto" w:sz="4" w:space="0"/>
              <w:left w:val="single" w:color="auto" w:sz="4" w:space="0"/>
              <w:bottom w:val="single" w:color="auto" w:sz="4" w:space="0"/>
              <w:right w:val="single" w:color="auto" w:sz="4" w:space="0"/>
            </w:tcBorders>
            <w:vAlign w:val="center"/>
          </w:tcPr>
          <w:p w14:paraId="50CA3FF3">
            <w:pPr>
              <w:pStyle w:val="14"/>
              <w:jc w:val="center"/>
              <w:rPr>
                <w:b w:val="0"/>
                <w:bCs/>
              </w:rPr>
            </w:pPr>
          </w:p>
        </w:tc>
        <w:tc>
          <w:tcPr>
            <w:tcW w:w="1113" w:type="dxa"/>
            <w:tcBorders>
              <w:top w:val="single" w:color="auto" w:sz="4" w:space="0"/>
              <w:left w:val="single" w:color="auto" w:sz="4" w:space="0"/>
              <w:bottom w:val="single" w:color="auto" w:sz="4" w:space="0"/>
              <w:right w:val="single" w:color="auto" w:sz="4" w:space="0"/>
            </w:tcBorders>
            <w:vAlign w:val="center"/>
          </w:tcPr>
          <w:p w14:paraId="3535BCA5">
            <w:pPr>
              <w:spacing w:before="65" w:line="190" w:lineRule="auto"/>
              <w:jc w:val="center"/>
              <w:rPr>
                <w:rFonts w:ascii="楷体" w:hAnsi="楷体" w:eastAsia="楷体" w:cs="楷体"/>
                <w:b w:val="0"/>
                <w:bCs/>
                <w:sz w:val="20"/>
                <w:szCs w:val="20"/>
              </w:rPr>
            </w:pPr>
            <w:r>
              <w:rPr>
                <w:rFonts w:ascii="楷体" w:hAnsi="楷体" w:eastAsia="楷体" w:cs="楷体"/>
                <w:b w:val="0"/>
                <w:bCs/>
                <w:sz w:val="20"/>
                <w:szCs w:val="20"/>
              </w:rPr>
              <w:t>1</w:t>
            </w:r>
          </w:p>
        </w:tc>
        <w:tc>
          <w:tcPr>
            <w:tcW w:w="879" w:type="dxa"/>
            <w:tcBorders>
              <w:top w:val="single" w:color="auto" w:sz="4" w:space="0"/>
              <w:left w:val="single" w:color="auto" w:sz="4" w:space="0"/>
              <w:bottom w:val="single" w:color="auto" w:sz="4" w:space="0"/>
              <w:right w:val="single" w:color="auto" w:sz="4" w:space="0"/>
            </w:tcBorders>
            <w:vAlign w:val="center"/>
          </w:tcPr>
          <w:p w14:paraId="480A1BDC">
            <w:pPr>
              <w:spacing w:before="65" w:line="190" w:lineRule="auto"/>
              <w:ind w:left="405"/>
              <w:jc w:val="both"/>
              <w:rPr>
                <w:rFonts w:ascii="楷体" w:hAnsi="楷体" w:eastAsia="楷体" w:cs="楷体"/>
                <w:b w:val="0"/>
                <w:bCs/>
                <w:sz w:val="20"/>
                <w:szCs w:val="20"/>
              </w:rPr>
            </w:pPr>
            <w:r>
              <w:rPr>
                <w:rFonts w:ascii="楷体" w:hAnsi="楷体" w:eastAsia="楷体" w:cs="楷体"/>
                <w:b w:val="0"/>
                <w:bCs/>
                <w:sz w:val="20"/>
                <w:szCs w:val="20"/>
              </w:rPr>
              <w:t>1</w:t>
            </w:r>
          </w:p>
        </w:tc>
        <w:tc>
          <w:tcPr>
            <w:tcW w:w="884" w:type="dxa"/>
            <w:tcBorders>
              <w:top w:val="single" w:color="auto" w:sz="4" w:space="0"/>
              <w:left w:val="single" w:color="auto" w:sz="4" w:space="0"/>
              <w:bottom w:val="single" w:color="auto" w:sz="4" w:space="0"/>
              <w:right w:val="single" w:color="auto" w:sz="4" w:space="0"/>
            </w:tcBorders>
            <w:vAlign w:val="center"/>
          </w:tcPr>
          <w:p w14:paraId="3E0D08FE">
            <w:pPr>
              <w:spacing w:before="65" w:line="191" w:lineRule="auto"/>
              <w:jc w:val="center"/>
              <w:rPr>
                <w:rFonts w:ascii="楷体" w:hAnsi="楷体" w:eastAsia="楷体" w:cs="楷体"/>
                <w:b w:val="0"/>
                <w:bCs/>
                <w:sz w:val="20"/>
                <w:szCs w:val="20"/>
              </w:rPr>
            </w:pPr>
            <w:r>
              <w:rPr>
                <w:rFonts w:ascii="楷体" w:hAnsi="楷体" w:eastAsia="楷体" w:cs="楷体"/>
                <w:b w:val="0"/>
                <w:bCs/>
                <w:spacing w:val="1"/>
                <w:sz w:val="20"/>
                <w:szCs w:val="20"/>
              </w:rPr>
              <w:t>20</w:t>
            </w:r>
          </w:p>
        </w:tc>
      </w:tr>
      <w:tr w14:paraId="48BA7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35" w:type="dxa"/>
            <w:vMerge w:val="continue"/>
            <w:tcBorders>
              <w:top w:val="single" w:color="auto" w:sz="4" w:space="0"/>
              <w:left w:val="single" w:color="auto" w:sz="4" w:space="0"/>
              <w:bottom w:val="single" w:color="auto" w:sz="4" w:space="0"/>
              <w:right w:val="single" w:color="auto" w:sz="4" w:space="0"/>
            </w:tcBorders>
            <w:vAlign w:val="center"/>
          </w:tcPr>
          <w:p w14:paraId="58D0F10C">
            <w:pPr>
              <w:pStyle w:val="14"/>
              <w:jc w:val="center"/>
              <w:rPr>
                <w:b w:val="0"/>
                <w:bCs/>
              </w:rPr>
            </w:pPr>
          </w:p>
        </w:tc>
        <w:tc>
          <w:tcPr>
            <w:tcW w:w="938" w:type="dxa"/>
            <w:tcBorders>
              <w:top w:val="single" w:color="auto" w:sz="4" w:space="0"/>
              <w:left w:val="single" w:color="auto" w:sz="4" w:space="0"/>
              <w:bottom w:val="single" w:color="auto" w:sz="4" w:space="0"/>
              <w:right w:val="single" w:color="auto" w:sz="4" w:space="0"/>
            </w:tcBorders>
            <w:vAlign w:val="center"/>
          </w:tcPr>
          <w:p w14:paraId="2801F321">
            <w:pPr>
              <w:spacing w:before="65" w:line="191" w:lineRule="auto"/>
              <w:jc w:val="center"/>
              <w:rPr>
                <w:rFonts w:ascii="楷体" w:hAnsi="楷体" w:eastAsia="楷体" w:cs="楷体"/>
                <w:b w:val="0"/>
                <w:bCs/>
                <w:sz w:val="20"/>
                <w:szCs w:val="20"/>
              </w:rPr>
            </w:pPr>
            <w:r>
              <w:rPr>
                <w:rFonts w:ascii="楷体" w:hAnsi="楷体" w:eastAsia="楷体" w:cs="楷体"/>
                <w:b w:val="0"/>
                <w:bCs/>
                <w:sz w:val="20"/>
                <w:szCs w:val="20"/>
              </w:rPr>
              <w:t>2</w:t>
            </w:r>
          </w:p>
        </w:tc>
        <w:tc>
          <w:tcPr>
            <w:tcW w:w="738" w:type="dxa"/>
            <w:tcBorders>
              <w:top w:val="single" w:color="auto" w:sz="4" w:space="0"/>
              <w:left w:val="single" w:color="auto" w:sz="4" w:space="0"/>
              <w:bottom w:val="single" w:color="auto" w:sz="4" w:space="0"/>
              <w:right w:val="single" w:color="auto" w:sz="4" w:space="0"/>
            </w:tcBorders>
            <w:vAlign w:val="center"/>
          </w:tcPr>
          <w:p w14:paraId="6EEBC41C">
            <w:pPr>
              <w:spacing w:before="65" w:line="190" w:lineRule="auto"/>
              <w:jc w:val="center"/>
              <w:rPr>
                <w:rFonts w:ascii="楷体" w:hAnsi="楷体" w:eastAsia="楷体" w:cs="楷体"/>
                <w:b w:val="0"/>
                <w:bCs/>
                <w:sz w:val="20"/>
                <w:szCs w:val="20"/>
              </w:rPr>
            </w:pPr>
            <w:r>
              <w:rPr>
                <w:rFonts w:ascii="楷体" w:hAnsi="楷体" w:eastAsia="楷体" w:cs="楷体"/>
                <w:b w:val="0"/>
                <w:bCs/>
                <w:spacing w:val="-5"/>
                <w:sz w:val="20"/>
                <w:szCs w:val="20"/>
              </w:rPr>
              <w:t>16</w:t>
            </w:r>
          </w:p>
        </w:tc>
        <w:tc>
          <w:tcPr>
            <w:tcW w:w="942" w:type="dxa"/>
            <w:tcBorders>
              <w:top w:val="single" w:color="auto" w:sz="4" w:space="0"/>
              <w:left w:val="single" w:color="auto" w:sz="4" w:space="0"/>
              <w:bottom w:val="single" w:color="auto" w:sz="4" w:space="0"/>
              <w:right w:val="single" w:color="auto" w:sz="4" w:space="0"/>
            </w:tcBorders>
            <w:vAlign w:val="center"/>
          </w:tcPr>
          <w:p w14:paraId="53839A11">
            <w:pPr>
              <w:spacing w:before="65" w:line="191" w:lineRule="auto"/>
              <w:jc w:val="center"/>
              <w:rPr>
                <w:rFonts w:hint="eastAsia" w:ascii="楷体" w:hAnsi="楷体" w:eastAsia="楷体" w:cs="楷体"/>
                <w:b w:val="0"/>
                <w:bCs/>
                <w:sz w:val="20"/>
                <w:szCs w:val="20"/>
                <w:lang w:eastAsia="zh-CN"/>
              </w:rPr>
            </w:pPr>
            <w:r>
              <w:rPr>
                <w:rFonts w:hint="eastAsia" w:ascii="楷体" w:hAnsi="楷体" w:eastAsia="楷体" w:cs="楷体"/>
                <w:b w:val="0"/>
                <w:bCs/>
                <w:sz w:val="20"/>
                <w:szCs w:val="20"/>
                <w:lang w:val="en-US" w:eastAsia="zh-CN"/>
              </w:rPr>
              <w:t>1</w:t>
            </w:r>
          </w:p>
        </w:tc>
        <w:tc>
          <w:tcPr>
            <w:tcW w:w="743" w:type="dxa"/>
            <w:tcBorders>
              <w:top w:val="single" w:color="auto" w:sz="4" w:space="0"/>
              <w:left w:val="single" w:color="auto" w:sz="4" w:space="0"/>
              <w:bottom w:val="single" w:color="auto" w:sz="4" w:space="0"/>
              <w:right w:val="single" w:color="auto" w:sz="4" w:space="0"/>
            </w:tcBorders>
            <w:vAlign w:val="center"/>
          </w:tcPr>
          <w:p w14:paraId="2047BD84">
            <w:pPr>
              <w:pStyle w:val="14"/>
              <w:jc w:val="center"/>
              <w:rPr>
                <w:b w:val="0"/>
                <w:bCs/>
              </w:rPr>
            </w:pPr>
          </w:p>
        </w:tc>
        <w:tc>
          <w:tcPr>
            <w:tcW w:w="841" w:type="dxa"/>
            <w:tcBorders>
              <w:top w:val="single" w:color="auto" w:sz="4" w:space="0"/>
              <w:left w:val="single" w:color="auto" w:sz="4" w:space="0"/>
              <w:bottom w:val="single" w:color="auto" w:sz="4" w:space="0"/>
              <w:right w:val="single" w:color="auto" w:sz="4" w:space="0"/>
            </w:tcBorders>
            <w:vAlign w:val="center"/>
          </w:tcPr>
          <w:p w14:paraId="65AC7F24">
            <w:pPr>
              <w:pStyle w:val="14"/>
              <w:jc w:val="center"/>
              <w:rPr>
                <w:b w:val="0"/>
                <w:bCs/>
              </w:rPr>
            </w:pPr>
          </w:p>
        </w:tc>
        <w:tc>
          <w:tcPr>
            <w:tcW w:w="1113" w:type="dxa"/>
            <w:tcBorders>
              <w:top w:val="single" w:color="auto" w:sz="4" w:space="0"/>
              <w:left w:val="single" w:color="auto" w:sz="4" w:space="0"/>
              <w:bottom w:val="single" w:color="auto" w:sz="4" w:space="0"/>
              <w:right w:val="single" w:color="auto" w:sz="4" w:space="0"/>
            </w:tcBorders>
            <w:vAlign w:val="center"/>
          </w:tcPr>
          <w:p w14:paraId="24DD116B">
            <w:pPr>
              <w:spacing w:before="65" w:line="190" w:lineRule="auto"/>
              <w:jc w:val="center"/>
              <w:rPr>
                <w:rFonts w:ascii="楷体" w:hAnsi="楷体" w:eastAsia="楷体" w:cs="楷体"/>
                <w:b w:val="0"/>
                <w:bCs/>
                <w:sz w:val="20"/>
                <w:szCs w:val="20"/>
              </w:rPr>
            </w:pPr>
            <w:r>
              <w:rPr>
                <w:rFonts w:ascii="楷体" w:hAnsi="楷体" w:eastAsia="楷体" w:cs="楷体"/>
                <w:b w:val="0"/>
                <w:bCs/>
                <w:sz w:val="20"/>
                <w:szCs w:val="20"/>
              </w:rPr>
              <w:t>1</w:t>
            </w:r>
          </w:p>
        </w:tc>
        <w:tc>
          <w:tcPr>
            <w:tcW w:w="879" w:type="dxa"/>
            <w:tcBorders>
              <w:top w:val="single" w:color="auto" w:sz="4" w:space="0"/>
              <w:left w:val="single" w:color="auto" w:sz="4" w:space="0"/>
              <w:bottom w:val="single" w:color="auto" w:sz="4" w:space="0"/>
              <w:right w:val="single" w:color="auto" w:sz="4" w:space="0"/>
            </w:tcBorders>
            <w:vAlign w:val="center"/>
          </w:tcPr>
          <w:p w14:paraId="54C7A54E">
            <w:pPr>
              <w:spacing w:before="65" w:line="190" w:lineRule="auto"/>
              <w:jc w:val="center"/>
              <w:rPr>
                <w:rFonts w:hint="eastAsia" w:ascii="楷体" w:hAnsi="楷体" w:eastAsia="楷体" w:cs="楷体"/>
                <w:b w:val="0"/>
                <w:bCs/>
                <w:sz w:val="20"/>
                <w:szCs w:val="20"/>
                <w:lang w:val="en-US" w:eastAsia="zh-CN"/>
              </w:rPr>
            </w:pPr>
            <w:r>
              <w:rPr>
                <w:rFonts w:hint="eastAsia" w:ascii="楷体" w:hAnsi="楷体" w:eastAsia="楷体" w:cs="楷体"/>
                <w:b w:val="0"/>
                <w:bCs/>
                <w:sz w:val="20"/>
                <w:szCs w:val="20"/>
                <w:lang w:val="en-US" w:eastAsia="zh-CN"/>
              </w:rPr>
              <w:t>2</w:t>
            </w:r>
          </w:p>
        </w:tc>
        <w:tc>
          <w:tcPr>
            <w:tcW w:w="884" w:type="dxa"/>
            <w:tcBorders>
              <w:top w:val="single" w:color="auto" w:sz="4" w:space="0"/>
              <w:left w:val="single" w:color="auto" w:sz="4" w:space="0"/>
              <w:bottom w:val="single" w:color="auto" w:sz="4" w:space="0"/>
              <w:right w:val="single" w:color="auto" w:sz="4" w:space="0"/>
            </w:tcBorders>
            <w:vAlign w:val="center"/>
          </w:tcPr>
          <w:p w14:paraId="1E8650D8">
            <w:pPr>
              <w:spacing w:before="61" w:line="186" w:lineRule="auto"/>
              <w:jc w:val="center"/>
              <w:rPr>
                <w:rFonts w:ascii="Calibri" w:hAnsi="Calibri" w:eastAsia="Calibri" w:cs="Calibri"/>
                <w:b w:val="0"/>
                <w:bCs/>
                <w:sz w:val="20"/>
                <w:szCs w:val="20"/>
              </w:rPr>
            </w:pPr>
            <w:r>
              <w:rPr>
                <w:rFonts w:ascii="Calibri" w:hAnsi="Calibri" w:eastAsia="Calibri" w:cs="Calibri"/>
                <w:b w:val="0"/>
                <w:bCs/>
                <w:spacing w:val="-2"/>
                <w:sz w:val="20"/>
                <w:szCs w:val="20"/>
              </w:rPr>
              <w:t>20</w:t>
            </w:r>
          </w:p>
        </w:tc>
      </w:tr>
      <w:tr w14:paraId="05C3B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35" w:type="dxa"/>
            <w:vMerge w:val="restart"/>
            <w:tcBorders>
              <w:top w:val="single" w:color="auto" w:sz="4" w:space="0"/>
              <w:left w:val="single" w:color="auto" w:sz="4" w:space="0"/>
              <w:bottom w:val="single" w:color="auto" w:sz="4" w:space="0"/>
              <w:right w:val="single" w:color="auto" w:sz="4" w:space="0"/>
            </w:tcBorders>
            <w:vAlign w:val="center"/>
          </w:tcPr>
          <w:p w14:paraId="3AECCAB3">
            <w:pPr>
              <w:pStyle w:val="14"/>
              <w:jc w:val="center"/>
              <w:rPr>
                <w:rFonts w:hint="eastAsia" w:eastAsia="宋体"/>
                <w:b w:val="0"/>
                <w:bCs/>
                <w:lang w:val="en-US" w:eastAsia="zh-CN"/>
              </w:rPr>
            </w:pPr>
            <w:r>
              <w:rPr>
                <w:rFonts w:hint="eastAsia" w:eastAsia="宋体"/>
                <w:b w:val="0"/>
                <w:bCs/>
                <w:lang w:val="en-US" w:eastAsia="zh-CN"/>
              </w:rPr>
              <w:t>二</w:t>
            </w:r>
          </w:p>
        </w:tc>
        <w:tc>
          <w:tcPr>
            <w:tcW w:w="938" w:type="dxa"/>
            <w:tcBorders>
              <w:top w:val="single" w:color="auto" w:sz="4" w:space="0"/>
              <w:left w:val="single" w:color="auto" w:sz="4" w:space="0"/>
              <w:bottom w:val="single" w:color="auto" w:sz="4" w:space="0"/>
              <w:right w:val="single" w:color="auto" w:sz="4" w:space="0"/>
            </w:tcBorders>
            <w:shd w:val="clear" w:color="auto" w:fill="auto"/>
            <w:vAlign w:val="center"/>
          </w:tcPr>
          <w:p w14:paraId="4CA080D9">
            <w:pPr>
              <w:spacing w:before="65" w:line="191" w:lineRule="auto"/>
              <w:jc w:val="center"/>
              <w:rPr>
                <w:rFonts w:ascii="楷体" w:hAnsi="楷体" w:eastAsia="楷体" w:cs="楷体"/>
                <w:b w:val="0"/>
                <w:bCs/>
                <w:snapToGrid w:val="0"/>
                <w:color w:val="000000"/>
                <w:kern w:val="0"/>
                <w:sz w:val="20"/>
                <w:szCs w:val="20"/>
                <w:lang w:val="en-US" w:eastAsia="en-US" w:bidi="ar-SA"/>
              </w:rPr>
            </w:pPr>
            <w:r>
              <w:rPr>
                <w:rFonts w:ascii="楷体" w:hAnsi="楷体" w:eastAsia="楷体" w:cs="楷体"/>
                <w:b w:val="0"/>
                <w:bCs/>
                <w:sz w:val="20"/>
                <w:szCs w:val="20"/>
              </w:rPr>
              <w:t>3</w:t>
            </w:r>
          </w:p>
        </w:tc>
        <w:tc>
          <w:tcPr>
            <w:tcW w:w="73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BE31E20">
            <w:pPr>
              <w:spacing w:before="65" w:line="190" w:lineRule="auto"/>
              <w:jc w:val="center"/>
              <w:rPr>
                <w:rFonts w:hint="default" w:ascii="楷体" w:hAnsi="楷体" w:eastAsia="楷体" w:cs="楷体"/>
                <w:b w:val="0"/>
                <w:bCs/>
                <w:snapToGrid w:val="0"/>
                <w:color w:val="000000"/>
                <w:kern w:val="0"/>
                <w:sz w:val="20"/>
                <w:szCs w:val="20"/>
                <w:lang w:val="en-US" w:eastAsia="zh-CN" w:bidi="ar-SA"/>
              </w:rPr>
            </w:pPr>
            <w:r>
              <w:rPr>
                <w:rFonts w:hint="eastAsia" w:ascii="楷体" w:hAnsi="楷体" w:eastAsia="楷体" w:cs="楷体"/>
                <w:b w:val="0"/>
                <w:bCs/>
                <w:sz w:val="20"/>
                <w:szCs w:val="20"/>
                <w:lang w:val="en-US" w:eastAsia="zh-CN"/>
              </w:rPr>
              <w:t>15、16</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12AE952B">
            <w:pPr>
              <w:spacing w:before="65" w:line="190" w:lineRule="auto"/>
              <w:jc w:val="center"/>
              <w:rPr>
                <w:rFonts w:ascii="楷体" w:hAnsi="楷体" w:eastAsia="楷体" w:cs="楷体"/>
                <w:b w:val="0"/>
                <w:bCs/>
                <w:snapToGrid w:val="0"/>
                <w:color w:val="000000"/>
                <w:kern w:val="0"/>
                <w:sz w:val="20"/>
                <w:szCs w:val="20"/>
                <w:lang w:val="en-US" w:eastAsia="en-US" w:bidi="ar-SA"/>
              </w:rPr>
            </w:pPr>
            <w:r>
              <w:rPr>
                <w:rFonts w:ascii="楷体" w:hAnsi="楷体" w:eastAsia="楷体" w:cs="楷体"/>
                <w:b w:val="0"/>
                <w:bCs/>
                <w:sz w:val="20"/>
                <w:szCs w:val="20"/>
              </w:rPr>
              <w:t>2</w:t>
            </w:r>
          </w:p>
        </w:tc>
        <w:tc>
          <w:tcPr>
            <w:tcW w:w="743" w:type="dxa"/>
            <w:vMerge w:val="restart"/>
            <w:tcBorders>
              <w:top w:val="single" w:color="auto" w:sz="4" w:space="0"/>
              <w:left w:val="single" w:color="auto" w:sz="4" w:space="0"/>
              <w:right w:val="single" w:color="auto" w:sz="4" w:space="0"/>
            </w:tcBorders>
            <w:shd w:val="clear" w:color="auto" w:fill="auto"/>
            <w:vAlign w:val="center"/>
          </w:tcPr>
          <w:p w14:paraId="21C44BC3">
            <w:pPr>
              <w:spacing w:before="65" w:line="190" w:lineRule="auto"/>
              <w:jc w:val="center"/>
              <w:rPr>
                <w:rFonts w:hint="eastAsia" w:ascii="楷体" w:hAnsi="楷体" w:eastAsia="楷体" w:cs="楷体"/>
                <w:b w:val="0"/>
                <w:bCs/>
                <w:snapToGrid w:val="0"/>
                <w:color w:val="000000"/>
                <w:kern w:val="0"/>
                <w:sz w:val="20"/>
                <w:szCs w:val="20"/>
                <w:lang w:val="en-US" w:eastAsia="zh-CN" w:bidi="ar-SA"/>
              </w:rPr>
            </w:pPr>
            <w:r>
              <w:rPr>
                <w:rFonts w:hint="eastAsia" w:ascii="楷体" w:hAnsi="楷体" w:eastAsia="楷体" w:cs="楷体"/>
                <w:b w:val="0"/>
                <w:bCs/>
                <w:sz w:val="20"/>
                <w:szCs w:val="20"/>
                <w:lang w:val="en-US" w:eastAsia="zh-CN"/>
              </w:rPr>
              <w:t>1</w:t>
            </w:r>
          </w:p>
        </w:tc>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14:paraId="054D0B43">
            <w:pPr>
              <w:pStyle w:val="14"/>
              <w:jc w:val="center"/>
              <w:rPr>
                <w:rFonts w:ascii="Arial" w:hAnsi="Arial" w:eastAsia="Arial" w:cs="Arial"/>
                <w:b w:val="0"/>
                <w:bCs/>
                <w:snapToGrid w:val="0"/>
                <w:color w:val="000000"/>
                <w:kern w:val="0"/>
                <w:sz w:val="21"/>
                <w:szCs w:val="21"/>
                <w:lang w:val="en-US" w:eastAsia="en-US" w:bidi="ar-SA"/>
              </w:rPr>
            </w:pPr>
          </w:p>
        </w:tc>
        <w:tc>
          <w:tcPr>
            <w:tcW w:w="1113" w:type="dxa"/>
            <w:tcBorders>
              <w:top w:val="single" w:color="auto" w:sz="4" w:space="0"/>
              <w:left w:val="single" w:color="auto" w:sz="4" w:space="0"/>
              <w:bottom w:val="single" w:color="auto" w:sz="4" w:space="0"/>
              <w:right w:val="single" w:color="auto" w:sz="4" w:space="0"/>
            </w:tcBorders>
            <w:shd w:val="clear" w:color="auto" w:fill="auto"/>
            <w:vAlign w:val="center"/>
          </w:tcPr>
          <w:p w14:paraId="379C7801">
            <w:pPr>
              <w:spacing w:before="65" w:line="190" w:lineRule="auto"/>
              <w:jc w:val="center"/>
              <w:rPr>
                <w:rFonts w:ascii="楷体" w:hAnsi="楷体" w:eastAsia="楷体" w:cs="楷体"/>
                <w:b w:val="0"/>
                <w:bCs/>
                <w:snapToGrid w:val="0"/>
                <w:color w:val="000000"/>
                <w:kern w:val="0"/>
                <w:sz w:val="20"/>
                <w:szCs w:val="20"/>
                <w:lang w:val="en-US" w:eastAsia="en-US" w:bidi="ar-SA"/>
              </w:rPr>
            </w:pPr>
            <w:r>
              <w:rPr>
                <w:rFonts w:ascii="楷体" w:hAnsi="楷体" w:eastAsia="楷体" w:cs="楷体"/>
                <w:b w:val="0"/>
                <w:bCs/>
                <w:sz w:val="20"/>
                <w:szCs w:val="20"/>
              </w:rPr>
              <w:t>1</w:t>
            </w:r>
          </w:p>
        </w:tc>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0E64DCB4">
            <w:pPr>
              <w:spacing w:before="65" w:line="190" w:lineRule="auto"/>
              <w:jc w:val="center"/>
              <w:rPr>
                <w:rFonts w:ascii="楷体" w:hAnsi="楷体" w:eastAsia="楷体" w:cs="楷体"/>
                <w:b w:val="0"/>
                <w:bCs/>
                <w:snapToGrid w:val="0"/>
                <w:color w:val="000000"/>
                <w:kern w:val="0"/>
                <w:sz w:val="20"/>
                <w:szCs w:val="20"/>
                <w:lang w:val="en-US" w:eastAsia="en-US" w:bidi="ar-SA"/>
              </w:rPr>
            </w:pPr>
            <w:r>
              <w:rPr>
                <w:rFonts w:ascii="楷体" w:hAnsi="楷体" w:eastAsia="楷体" w:cs="楷体"/>
                <w:b w:val="0"/>
                <w:bCs/>
                <w:sz w:val="20"/>
                <w:szCs w:val="20"/>
              </w:rPr>
              <w:t>1</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5AD4DBA8">
            <w:pPr>
              <w:spacing w:before="61" w:line="186" w:lineRule="auto"/>
              <w:jc w:val="center"/>
              <w:rPr>
                <w:rFonts w:ascii="Calibri" w:hAnsi="Calibri" w:eastAsia="Calibri" w:cs="Calibri"/>
                <w:b w:val="0"/>
                <w:bCs/>
                <w:snapToGrid w:val="0"/>
                <w:color w:val="000000"/>
                <w:kern w:val="0"/>
                <w:sz w:val="20"/>
                <w:szCs w:val="20"/>
                <w:lang w:val="en-US" w:eastAsia="en-US" w:bidi="ar-SA"/>
              </w:rPr>
            </w:pPr>
            <w:r>
              <w:rPr>
                <w:rFonts w:ascii="Calibri" w:hAnsi="Calibri" w:eastAsia="Calibri" w:cs="Calibri"/>
                <w:b w:val="0"/>
                <w:bCs/>
                <w:spacing w:val="-2"/>
                <w:sz w:val="20"/>
                <w:szCs w:val="20"/>
              </w:rPr>
              <w:t>20</w:t>
            </w:r>
          </w:p>
        </w:tc>
      </w:tr>
      <w:tr w14:paraId="72077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35" w:type="dxa"/>
            <w:vMerge w:val="continue"/>
            <w:tcBorders>
              <w:top w:val="single" w:color="auto" w:sz="4" w:space="0"/>
              <w:left w:val="single" w:color="auto" w:sz="4" w:space="0"/>
              <w:bottom w:val="single" w:color="auto" w:sz="4" w:space="0"/>
              <w:right w:val="single" w:color="auto" w:sz="4" w:space="0"/>
            </w:tcBorders>
            <w:vAlign w:val="center"/>
          </w:tcPr>
          <w:p w14:paraId="1BCD3734">
            <w:pPr>
              <w:pStyle w:val="14"/>
              <w:jc w:val="center"/>
              <w:rPr>
                <w:b w:val="0"/>
                <w:bCs/>
              </w:rPr>
            </w:pPr>
          </w:p>
        </w:tc>
        <w:tc>
          <w:tcPr>
            <w:tcW w:w="938" w:type="dxa"/>
            <w:tcBorders>
              <w:top w:val="single" w:color="auto" w:sz="4" w:space="0"/>
              <w:left w:val="single" w:color="auto" w:sz="4" w:space="0"/>
              <w:bottom w:val="single" w:color="auto" w:sz="4" w:space="0"/>
              <w:right w:val="single" w:color="auto" w:sz="4" w:space="0"/>
            </w:tcBorders>
            <w:shd w:val="clear" w:color="auto" w:fill="auto"/>
            <w:vAlign w:val="center"/>
          </w:tcPr>
          <w:p w14:paraId="28F53290">
            <w:pPr>
              <w:spacing w:before="65" w:line="190" w:lineRule="auto"/>
              <w:jc w:val="center"/>
              <w:rPr>
                <w:rFonts w:ascii="楷体" w:hAnsi="楷体" w:eastAsia="楷体" w:cs="楷体"/>
                <w:b w:val="0"/>
                <w:bCs/>
                <w:snapToGrid w:val="0"/>
                <w:color w:val="000000"/>
                <w:kern w:val="0"/>
                <w:sz w:val="20"/>
                <w:szCs w:val="20"/>
                <w:lang w:val="en-US" w:eastAsia="en-US" w:bidi="ar-SA"/>
              </w:rPr>
            </w:pPr>
            <w:r>
              <w:rPr>
                <w:rFonts w:ascii="楷体" w:hAnsi="楷体" w:eastAsia="楷体" w:cs="楷体"/>
                <w:b w:val="0"/>
                <w:bCs/>
                <w:spacing w:val="1"/>
                <w:sz w:val="20"/>
                <w:szCs w:val="20"/>
              </w:rPr>
              <w:t>4</w:t>
            </w:r>
          </w:p>
        </w:tc>
        <w:tc>
          <w:tcPr>
            <w:tcW w:w="738" w:type="dxa"/>
            <w:vMerge w:val="continue"/>
            <w:tcBorders>
              <w:top w:val="single" w:color="auto" w:sz="4" w:space="0"/>
              <w:left w:val="single" w:color="auto" w:sz="4" w:space="0"/>
              <w:bottom w:val="single" w:color="auto" w:sz="4" w:space="0"/>
              <w:right w:val="single" w:color="auto" w:sz="4" w:space="0"/>
            </w:tcBorders>
            <w:vAlign w:val="center"/>
          </w:tcPr>
          <w:p w14:paraId="460C2AEA">
            <w:pPr>
              <w:spacing w:before="65" w:line="190" w:lineRule="auto"/>
              <w:jc w:val="center"/>
              <w:rPr>
                <w:rFonts w:ascii="楷体" w:hAnsi="楷体" w:eastAsia="楷体" w:cs="楷体"/>
                <w:b w:val="0"/>
                <w:bCs/>
                <w:spacing w:val="-5"/>
                <w:sz w:val="20"/>
                <w:szCs w:val="20"/>
              </w:rPr>
            </w:pP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199B430E">
            <w:pPr>
              <w:spacing w:before="65" w:line="191" w:lineRule="auto"/>
              <w:jc w:val="center"/>
              <w:rPr>
                <w:rFonts w:ascii="楷体" w:hAnsi="楷体" w:eastAsia="楷体" w:cs="楷体"/>
                <w:b w:val="0"/>
                <w:bCs/>
                <w:snapToGrid w:val="0"/>
                <w:color w:val="000000"/>
                <w:kern w:val="0"/>
                <w:sz w:val="20"/>
                <w:szCs w:val="20"/>
                <w:lang w:val="en-US" w:eastAsia="en-US" w:bidi="ar-SA"/>
              </w:rPr>
            </w:pPr>
            <w:r>
              <w:rPr>
                <w:rFonts w:ascii="楷体" w:hAnsi="楷体" w:eastAsia="楷体" w:cs="楷体"/>
                <w:b w:val="0"/>
                <w:bCs/>
                <w:sz w:val="20"/>
                <w:szCs w:val="20"/>
              </w:rPr>
              <w:t>2</w:t>
            </w:r>
          </w:p>
        </w:tc>
        <w:tc>
          <w:tcPr>
            <w:tcW w:w="743" w:type="dxa"/>
            <w:vMerge w:val="continue"/>
            <w:tcBorders>
              <w:left w:val="single" w:color="auto" w:sz="4" w:space="0"/>
              <w:bottom w:val="single" w:color="auto" w:sz="4" w:space="0"/>
              <w:right w:val="single" w:color="auto" w:sz="4" w:space="0"/>
            </w:tcBorders>
            <w:vAlign w:val="center"/>
          </w:tcPr>
          <w:p w14:paraId="062DFB2E">
            <w:pPr>
              <w:pStyle w:val="14"/>
              <w:jc w:val="center"/>
              <w:rPr>
                <w:b w:val="0"/>
                <w:bCs/>
              </w:rPr>
            </w:pPr>
          </w:p>
        </w:tc>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14:paraId="30D95703">
            <w:pPr>
              <w:pStyle w:val="14"/>
              <w:jc w:val="center"/>
              <w:rPr>
                <w:rFonts w:ascii="Arial" w:hAnsi="Arial" w:eastAsia="Arial" w:cs="Arial"/>
                <w:b w:val="0"/>
                <w:bCs/>
                <w:snapToGrid w:val="0"/>
                <w:color w:val="000000"/>
                <w:kern w:val="0"/>
                <w:sz w:val="21"/>
                <w:szCs w:val="21"/>
                <w:lang w:val="en-US" w:eastAsia="en-US" w:bidi="ar-SA"/>
              </w:rPr>
            </w:pPr>
          </w:p>
        </w:tc>
        <w:tc>
          <w:tcPr>
            <w:tcW w:w="1113" w:type="dxa"/>
            <w:tcBorders>
              <w:top w:val="single" w:color="auto" w:sz="4" w:space="0"/>
              <w:left w:val="single" w:color="auto" w:sz="4" w:space="0"/>
              <w:bottom w:val="single" w:color="auto" w:sz="4" w:space="0"/>
              <w:right w:val="single" w:color="auto" w:sz="4" w:space="0"/>
            </w:tcBorders>
            <w:shd w:val="clear" w:color="auto" w:fill="auto"/>
            <w:vAlign w:val="center"/>
          </w:tcPr>
          <w:p w14:paraId="00F7EE3F">
            <w:pPr>
              <w:spacing w:before="65" w:line="190" w:lineRule="auto"/>
              <w:jc w:val="center"/>
              <w:rPr>
                <w:rFonts w:ascii="楷体" w:hAnsi="楷体" w:eastAsia="楷体" w:cs="楷体"/>
                <w:b w:val="0"/>
                <w:bCs/>
                <w:snapToGrid w:val="0"/>
                <w:color w:val="000000"/>
                <w:kern w:val="0"/>
                <w:sz w:val="20"/>
                <w:szCs w:val="20"/>
                <w:lang w:val="en-US" w:eastAsia="en-US" w:bidi="ar-SA"/>
              </w:rPr>
            </w:pPr>
            <w:r>
              <w:rPr>
                <w:rFonts w:ascii="楷体" w:hAnsi="楷体" w:eastAsia="楷体" w:cs="楷体"/>
                <w:b w:val="0"/>
                <w:bCs/>
                <w:sz w:val="20"/>
                <w:szCs w:val="20"/>
              </w:rPr>
              <w:t>1</w:t>
            </w:r>
          </w:p>
        </w:tc>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36A1D593">
            <w:pPr>
              <w:spacing w:before="65" w:line="190" w:lineRule="auto"/>
              <w:jc w:val="center"/>
              <w:rPr>
                <w:rFonts w:ascii="楷体" w:hAnsi="楷体" w:eastAsia="楷体" w:cs="楷体"/>
                <w:b w:val="0"/>
                <w:bCs/>
                <w:snapToGrid w:val="0"/>
                <w:color w:val="000000"/>
                <w:kern w:val="0"/>
                <w:sz w:val="20"/>
                <w:szCs w:val="20"/>
                <w:lang w:val="en-US" w:eastAsia="en-US" w:bidi="ar-SA"/>
              </w:rPr>
            </w:pPr>
            <w:r>
              <w:rPr>
                <w:rFonts w:ascii="楷体" w:hAnsi="楷体" w:eastAsia="楷体" w:cs="楷体"/>
                <w:b w:val="0"/>
                <w:bCs/>
                <w:sz w:val="20"/>
                <w:szCs w:val="20"/>
              </w:rPr>
              <w:t>1</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17A12268">
            <w:pPr>
              <w:spacing w:before="61" w:line="186" w:lineRule="auto"/>
              <w:jc w:val="center"/>
              <w:rPr>
                <w:rFonts w:ascii="Calibri" w:hAnsi="Calibri" w:eastAsia="Calibri" w:cs="Calibri"/>
                <w:b w:val="0"/>
                <w:bCs/>
                <w:snapToGrid w:val="0"/>
                <w:color w:val="000000"/>
                <w:kern w:val="0"/>
                <w:sz w:val="20"/>
                <w:szCs w:val="20"/>
                <w:lang w:val="en-US" w:eastAsia="en-US" w:bidi="ar-SA"/>
              </w:rPr>
            </w:pPr>
            <w:r>
              <w:rPr>
                <w:rFonts w:ascii="Calibri" w:hAnsi="Calibri" w:eastAsia="Calibri" w:cs="Calibri"/>
                <w:b w:val="0"/>
                <w:bCs/>
                <w:spacing w:val="-2"/>
                <w:sz w:val="20"/>
                <w:szCs w:val="20"/>
              </w:rPr>
              <w:t>20</w:t>
            </w:r>
          </w:p>
        </w:tc>
      </w:tr>
      <w:tr w14:paraId="16AC6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35" w:type="dxa"/>
            <w:vMerge w:val="restart"/>
            <w:tcBorders>
              <w:top w:val="single" w:color="auto" w:sz="4" w:space="0"/>
              <w:left w:val="single" w:color="auto" w:sz="4" w:space="0"/>
              <w:bottom w:val="single" w:color="auto" w:sz="4" w:space="0"/>
              <w:right w:val="single" w:color="auto" w:sz="4" w:space="0"/>
            </w:tcBorders>
            <w:vAlign w:val="center"/>
          </w:tcPr>
          <w:p w14:paraId="745FE767">
            <w:pPr>
              <w:pStyle w:val="14"/>
              <w:jc w:val="center"/>
              <w:rPr>
                <w:rFonts w:hint="eastAsia" w:eastAsia="宋体"/>
                <w:b w:val="0"/>
                <w:bCs/>
                <w:lang w:val="en-US" w:eastAsia="zh-CN"/>
              </w:rPr>
            </w:pPr>
            <w:r>
              <w:rPr>
                <w:rFonts w:hint="eastAsia" w:eastAsia="宋体"/>
                <w:b w:val="0"/>
                <w:bCs/>
                <w:lang w:val="en-US" w:eastAsia="zh-CN"/>
              </w:rPr>
              <w:t>三</w:t>
            </w:r>
          </w:p>
        </w:tc>
        <w:tc>
          <w:tcPr>
            <w:tcW w:w="938" w:type="dxa"/>
            <w:tcBorders>
              <w:top w:val="single" w:color="auto" w:sz="4" w:space="0"/>
              <w:left w:val="single" w:color="auto" w:sz="4" w:space="0"/>
              <w:bottom w:val="single" w:color="auto" w:sz="4" w:space="0"/>
              <w:right w:val="single" w:color="auto" w:sz="4" w:space="0"/>
            </w:tcBorders>
            <w:shd w:val="clear" w:color="auto" w:fill="auto"/>
            <w:vAlign w:val="center"/>
          </w:tcPr>
          <w:p w14:paraId="4EAAB7F8">
            <w:pPr>
              <w:spacing w:before="65" w:line="187" w:lineRule="auto"/>
              <w:jc w:val="center"/>
              <w:rPr>
                <w:rFonts w:ascii="楷体" w:hAnsi="楷体" w:eastAsia="楷体" w:cs="楷体"/>
                <w:b w:val="0"/>
                <w:bCs/>
                <w:snapToGrid w:val="0"/>
                <w:color w:val="000000"/>
                <w:kern w:val="0"/>
                <w:sz w:val="20"/>
                <w:szCs w:val="20"/>
                <w:lang w:val="en-US" w:eastAsia="en-US" w:bidi="ar-SA"/>
              </w:rPr>
            </w:pPr>
            <w:r>
              <w:rPr>
                <w:rFonts w:ascii="楷体" w:hAnsi="楷体" w:eastAsia="楷体" w:cs="楷体"/>
                <w:b w:val="0"/>
                <w:bCs/>
                <w:spacing w:val="1"/>
                <w:sz w:val="20"/>
                <w:szCs w:val="20"/>
              </w:rPr>
              <w:t>5</w:t>
            </w:r>
          </w:p>
        </w:tc>
        <w:tc>
          <w:tcPr>
            <w:tcW w:w="738" w:type="dxa"/>
            <w:tcBorders>
              <w:top w:val="single" w:color="auto" w:sz="4" w:space="0"/>
              <w:left w:val="single" w:color="auto" w:sz="4" w:space="0"/>
              <w:bottom w:val="single" w:color="auto" w:sz="4" w:space="0"/>
              <w:right w:val="single" w:color="auto" w:sz="4" w:space="0"/>
            </w:tcBorders>
            <w:shd w:val="clear" w:color="auto" w:fill="auto"/>
            <w:vAlign w:val="center"/>
          </w:tcPr>
          <w:p w14:paraId="7808C1A2">
            <w:pPr>
              <w:pStyle w:val="14"/>
              <w:jc w:val="center"/>
              <w:rPr>
                <w:rFonts w:ascii="Arial" w:hAnsi="Arial" w:eastAsia="Arial" w:cs="Arial"/>
                <w:b w:val="0"/>
                <w:bCs/>
                <w:snapToGrid w:val="0"/>
                <w:color w:val="000000"/>
                <w:kern w:val="0"/>
                <w:sz w:val="21"/>
                <w:szCs w:val="21"/>
                <w:lang w:val="en-US" w:eastAsia="en-US" w:bidi="ar-SA"/>
              </w:rPr>
            </w:pP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31BCA8DD">
            <w:pPr>
              <w:pStyle w:val="14"/>
              <w:jc w:val="center"/>
              <w:rPr>
                <w:rFonts w:ascii="Arial" w:hAnsi="Arial" w:eastAsia="Arial" w:cs="Arial"/>
                <w:b w:val="0"/>
                <w:bCs/>
                <w:snapToGrid w:val="0"/>
                <w:color w:val="000000"/>
                <w:kern w:val="0"/>
                <w:sz w:val="21"/>
                <w:szCs w:val="21"/>
                <w:lang w:val="en-US" w:eastAsia="en-US" w:bidi="ar-SA"/>
              </w:rPr>
            </w:pP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14:paraId="4720BDA2">
            <w:pPr>
              <w:pStyle w:val="14"/>
              <w:jc w:val="center"/>
              <w:rPr>
                <w:rFonts w:ascii="Arial" w:hAnsi="Arial" w:eastAsia="Arial" w:cs="Arial"/>
                <w:b w:val="0"/>
                <w:bCs/>
                <w:snapToGrid w:val="0"/>
                <w:color w:val="000000"/>
                <w:kern w:val="0"/>
                <w:sz w:val="21"/>
                <w:szCs w:val="21"/>
                <w:lang w:val="en-US" w:eastAsia="en-US" w:bidi="ar-SA"/>
              </w:rPr>
            </w:pPr>
          </w:p>
        </w:tc>
        <w:tc>
          <w:tcPr>
            <w:tcW w:w="841" w:type="dxa"/>
            <w:vMerge w:val="restart"/>
            <w:tcBorders>
              <w:top w:val="single" w:color="auto" w:sz="4" w:space="0"/>
              <w:left w:val="single" w:color="auto" w:sz="4" w:space="0"/>
              <w:right w:val="single" w:color="auto" w:sz="4" w:space="0"/>
            </w:tcBorders>
            <w:shd w:val="clear" w:color="auto" w:fill="auto"/>
            <w:vAlign w:val="center"/>
          </w:tcPr>
          <w:p w14:paraId="65902014">
            <w:pPr>
              <w:spacing w:before="65" w:line="191" w:lineRule="auto"/>
              <w:jc w:val="center"/>
              <w:rPr>
                <w:rFonts w:hint="default" w:ascii="楷体" w:hAnsi="楷体" w:eastAsia="楷体" w:cs="楷体"/>
                <w:b w:val="0"/>
                <w:bCs/>
                <w:snapToGrid w:val="0"/>
                <w:color w:val="000000"/>
                <w:kern w:val="0"/>
                <w:sz w:val="20"/>
                <w:szCs w:val="20"/>
                <w:lang w:val="en-US" w:eastAsia="zh-CN" w:bidi="ar-SA"/>
              </w:rPr>
            </w:pPr>
            <w:r>
              <w:rPr>
                <w:rFonts w:hint="eastAsia" w:ascii="楷体" w:hAnsi="楷体" w:eastAsia="楷体" w:cs="楷体"/>
                <w:b w:val="0"/>
                <w:bCs/>
                <w:snapToGrid w:val="0"/>
                <w:color w:val="000000"/>
                <w:kern w:val="0"/>
                <w:sz w:val="20"/>
                <w:szCs w:val="20"/>
                <w:lang w:val="en-US" w:eastAsia="zh-CN" w:bidi="ar-SA"/>
              </w:rPr>
              <w:t>32</w:t>
            </w:r>
          </w:p>
        </w:tc>
        <w:tc>
          <w:tcPr>
            <w:tcW w:w="1113" w:type="dxa"/>
            <w:tcBorders>
              <w:top w:val="single" w:color="auto" w:sz="4" w:space="0"/>
              <w:left w:val="single" w:color="auto" w:sz="4" w:space="0"/>
              <w:bottom w:val="single" w:color="auto" w:sz="4" w:space="0"/>
              <w:right w:val="single" w:color="auto" w:sz="4" w:space="0"/>
            </w:tcBorders>
            <w:shd w:val="clear" w:color="auto" w:fill="auto"/>
            <w:vAlign w:val="center"/>
          </w:tcPr>
          <w:p w14:paraId="64034307">
            <w:pPr>
              <w:spacing w:before="65" w:line="191" w:lineRule="auto"/>
              <w:jc w:val="center"/>
              <w:rPr>
                <w:rFonts w:hint="eastAsia" w:ascii="楷体" w:hAnsi="楷体" w:eastAsia="楷体" w:cs="楷体"/>
                <w:b w:val="0"/>
                <w:bCs/>
                <w:snapToGrid w:val="0"/>
                <w:color w:val="000000"/>
                <w:kern w:val="0"/>
                <w:sz w:val="20"/>
                <w:szCs w:val="20"/>
                <w:lang w:val="en-US" w:eastAsia="zh-CN" w:bidi="ar-SA"/>
              </w:rPr>
            </w:pPr>
          </w:p>
        </w:tc>
        <w:tc>
          <w:tcPr>
            <w:tcW w:w="879" w:type="dxa"/>
            <w:vMerge w:val="restart"/>
            <w:tcBorders>
              <w:top w:val="single" w:color="auto" w:sz="4" w:space="0"/>
              <w:left w:val="single" w:color="auto" w:sz="4" w:space="0"/>
              <w:right w:val="single" w:color="auto" w:sz="4" w:space="0"/>
            </w:tcBorders>
            <w:shd w:val="clear" w:color="auto" w:fill="auto"/>
            <w:vAlign w:val="center"/>
          </w:tcPr>
          <w:p w14:paraId="051FB7E1">
            <w:pPr>
              <w:spacing w:before="65" w:line="191" w:lineRule="auto"/>
              <w:jc w:val="center"/>
              <w:rPr>
                <w:rFonts w:hint="default" w:ascii="楷体" w:hAnsi="楷体" w:eastAsia="楷体" w:cs="楷体"/>
                <w:b w:val="0"/>
                <w:bCs/>
                <w:snapToGrid w:val="0"/>
                <w:color w:val="000000"/>
                <w:kern w:val="0"/>
                <w:sz w:val="20"/>
                <w:szCs w:val="20"/>
                <w:lang w:val="en-US" w:eastAsia="zh-CN" w:bidi="ar-SA"/>
              </w:rPr>
            </w:pPr>
            <w:r>
              <w:rPr>
                <w:rFonts w:hint="eastAsia" w:ascii="楷体" w:hAnsi="楷体" w:eastAsia="楷体" w:cs="楷体"/>
                <w:b w:val="0"/>
                <w:bCs/>
                <w:snapToGrid w:val="0"/>
                <w:color w:val="000000"/>
                <w:kern w:val="0"/>
                <w:sz w:val="20"/>
                <w:szCs w:val="20"/>
                <w:lang w:val="en-US" w:eastAsia="zh-CN" w:bidi="ar-SA"/>
              </w:rPr>
              <w:t>就业创业实践8周</w:t>
            </w:r>
          </w:p>
        </w:tc>
        <w:tc>
          <w:tcPr>
            <w:tcW w:w="884" w:type="dxa"/>
            <w:vMerge w:val="restart"/>
            <w:tcBorders>
              <w:top w:val="single" w:color="auto" w:sz="4" w:space="0"/>
              <w:left w:val="single" w:color="auto" w:sz="4" w:space="0"/>
              <w:right w:val="single" w:color="auto" w:sz="4" w:space="0"/>
            </w:tcBorders>
            <w:shd w:val="clear" w:color="auto" w:fill="auto"/>
            <w:vAlign w:val="center"/>
          </w:tcPr>
          <w:p w14:paraId="48E74304">
            <w:pPr>
              <w:spacing w:before="65" w:line="191" w:lineRule="auto"/>
              <w:jc w:val="center"/>
              <w:rPr>
                <w:rFonts w:hint="default" w:ascii="楷体" w:hAnsi="楷体" w:eastAsia="楷体" w:cs="楷体"/>
                <w:b w:val="0"/>
                <w:bCs/>
                <w:snapToGrid w:val="0"/>
                <w:color w:val="000000"/>
                <w:kern w:val="0"/>
                <w:sz w:val="20"/>
                <w:szCs w:val="20"/>
                <w:lang w:val="en-US" w:eastAsia="zh-CN" w:bidi="ar-SA"/>
              </w:rPr>
            </w:pPr>
            <w:r>
              <w:rPr>
                <w:rFonts w:hint="eastAsia" w:ascii="楷体" w:hAnsi="楷体" w:eastAsia="楷体" w:cs="楷体"/>
                <w:b w:val="0"/>
                <w:bCs/>
                <w:snapToGrid w:val="0"/>
                <w:color w:val="000000"/>
                <w:kern w:val="0"/>
                <w:sz w:val="20"/>
                <w:szCs w:val="20"/>
                <w:lang w:val="en-US" w:eastAsia="zh-CN" w:bidi="ar-SA"/>
              </w:rPr>
              <w:t>40</w:t>
            </w:r>
          </w:p>
        </w:tc>
      </w:tr>
      <w:tr w14:paraId="647E6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935" w:type="dxa"/>
            <w:vMerge w:val="continue"/>
            <w:tcBorders>
              <w:top w:val="single" w:color="auto" w:sz="4" w:space="0"/>
              <w:left w:val="single" w:color="auto" w:sz="4" w:space="0"/>
              <w:bottom w:val="single" w:color="auto" w:sz="4" w:space="0"/>
              <w:right w:val="single" w:color="auto" w:sz="4" w:space="0"/>
            </w:tcBorders>
            <w:vAlign w:val="center"/>
          </w:tcPr>
          <w:p w14:paraId="5D982BF0">
            <w:pPr>
              <w:pStyle w:val="14"/>
              <w:jc w:val="center"/>
              <w:rPr>
                <w:b w:val="0"/>
                <w:bCs/>
              </w:rPr>
            </w:pPr>
          </w:p>
        </w:tc>
        <w:tc>
          <w:tcPr>
            <w:tcW w:w="938" w:type="dxa"/>
            <w:tcBorders>
              <w:top w:val="single" w:color="auto" w:sz="4" w:space="0"/>
              <w:left w:val="single" w:color="auto" w:sz="4" w:space="0"/>
              <w:bottom w:val="single" w:color="auto" w:sz="4" w:space="0"/>
              <w:right w:val="single" w:color="auto" w:sz="4" w:space="0"/>
            </w:tcBorders>
            <w:shd w:val="clear" w:color="auto" w:fill="auto"/>
            <w:vAlign w:val="center"/>
          </w:tcPr>
          <w:p w14:paraId="00F1EB19">
            <w:pPr>
              <w:spacing w:before="65" w:line="190" w:lineRule="auto"/>
              <w:jc w:val="center"/>
              <w:rPr>
                <w:rFonts w:ascii="楷体" w:hAnsi="楷体" w:eastAsia="楷体" w:cs="楷体"/>
                <w:b w:val="0"/>
                <w:bCs/>
                <w:snapToGrid w:val="0"/>
                <w:color w:val="000000"/>
                <w:kern w:val="0"/>
                <w:sz w:val="20"/>
                <w:szCs w:val="20"/>
                <w:lang w:val="en-US" w:eastAsia="en-US" w:bidi="ar-SA"/>
              </w:rPr>
            </w:pPr>
            <w:r>
              <w:rPr>
                <w:rFonts w:ascii="楷体" w:hAnsi="楷体" w:eastAsia="楷体" w:cs="楷体"/>
                <w:b w:val="0"/>
                <w:bCs/>
                <w:sz w:val="20"/>
                <w:szCs w:val="20"/>
              </w:rPr>
              <w:t>6</w:t>
            </w:r>
          </w:p>
        </w:tc>
        <w:tc>
          <w:tcPr>
            <w:tcW w:w="738" w:type="dxa"/>
            <w:tcBorders>
              <w:top w:val="single" w:color="auto" w:sz="4" w:space="0"/>
              <w:left w:val="single" w:color="auto" w:sz="4" w:space="0"/>
              <w:bottom w:val="single" w:color="auto" w:sz="4" w:space="0"/>
              <w:right w:val="single" w:color="auto" w:sz="4" w:space="0"/>
            </w:tcBorders>
            <w:shd w:val="clear" w:color="auto" w:fill="auto"/>
            <w:vAlign w:val="center"/>
          </w:tcPr>
          <w:p w14:paraId="5CB4E468">
            <w:pPr>
              <w:pStyle w:val="14"/>
              <w:jc w:val="center"/>
              <w:rPr>
                <w:rFonts w:ascii="Arial" w:hAnsi="Arial" w:eastAsia="Arial" w:cs="Arial"/>
                <w:b w:val="0"/>
                <w:bCs/>
                <w:snapToGrid w:val="0"/>
                <w:color w:val="000000"/>
                <w:kern w:val="0"/>
                <w:sz w:val="21"/>
                <w:szCs w:val="21"/>
                <w:lang w:val="en-US" w:eastAsia="en-US" w:bidi="ar-SA"/>
              </w:rPr>
            </w:pP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761D6424">
            <w:pPr>
              <w:pStyle w:val="14"/>
              <w:jc w:val="center"/>
              <w:rPr>
                <w:rFonts w:ascii="Arial" w:hAnsi="Arial" w:eastAsia="Arial" w:cs="Arial"/>
                <w:b w:val="0"/>
                <w:bCs/>
                <w:snapToGrid w:val="0"/>
                <w:color w:val="000000"/>
                <w:kern w:val="0"/>
                <w:sz w:val="21"/>
                <w:szCs w:val="21"/>
                <w:lang w:val="en-US" w:eastAsia="en-US" w:bidi="ar-SA"/>
              </w:rPr>
            </w:pP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14:paraId="267BEC84">
            <w:pPr>
              <w:pStyle w:val="14"/>
              <w:jc w:val="center"/>
              <w:rPr>
                <w:rFonts w:ascii="Arial" w:hAnsi="Arial" w:eastAsia="Arial" w:cs="Arial"/>
                <w:b w:val="0"/>
                <w:bCs/>
                <w:snapToGrid w:val="0"/>
                <w:color w:val="000000"/>
                <w:kern w:val="0"/>
                <w:sz w:val="21"/>
                <w:szCs w:val="21"/>
                <w:lang w:val="en-US" w:eastAsia="en-US" w:bidi="ar-SA"/>
              </w:rPr>
            </w:pPr>
          </w:p>
        </w:tc>
        <w:tc>
          <w:tcPr>
            <w:tcW w:w="841" w:type="dxa"/>
            <w:vMerge w:val="continue"/>
            <w:tcBorders>
              <w:left w:val="single" w:color="auto" w:sz="4" w:space="0"/>
              <w:bottom w:val="single" w:color="auto" w:sz="4" w:space="0"/>
              <w:right w:val="single" w:color="auto" w:sz="4" w:space="0"/>
            </w:tcBorders>
            <w:shd w:val="clear" w:color="auto" w:fill="auto"/>
            <w:vAlign w:val="center"/>
          </w:tcPr>
          <w:p w14:paraId="0E661FDF">
            <w:pPr>
              <w:spacing w:before="65" w:line="191" w:lineRule="auto"/>
              <w:jc w:val="center"/>
              <w:rPr>
                <w:rFonts w:hint="eastAsia" w:ascii="楷体" w:hAnsi="楷体" w:eastAsia="楷体" w:cs="楷体"/>
                <w:b w:val="0"/>
                <w:bCs/>
                <w:snapToGrid w:val="0"/>
                <w:color w:val="000000"/>
                <w:kern w:val="0"/>
                <w:sz w:val="20"/>
                <w:szCs w:val="20"/>
                <w:lang w:val="en-US" w:eastAsia="zh-CN" w:bidi="ar-SA"/>
              </w:rPr>
            </w:pPr>
          </w:p>
        </w:tc>
        <w:tc>
          <w:tcPr>
            <w:tcW w:w="1113" w:type="dxa"/>
            <w:tcBorders>
              <w:top w:val="single" w:color="auto" w:sz="4" w:space="0"/>
              <w:left w:val="single" w:color="auto" w:sz="4" w:space="0"/>
              <w:bottom w:val="single" w:color="auto" w:sz="4" w:space="0"/>
              <w:right w:val="single" w:color="auto" w:sz="4" w:space="0"/>
            </w:tcBorders>
            <w:shd w:val="clear" w:color="auto" w:fill="auto"/>
            <w:vAlign w:val="center"/>
          </w:tcPr>
          <w:p w14:paraId="7C89647A">
            <w:pPr>
              <w:spacing w:before="65" w:line="191" w:lineRule="auto"/>
              <w:jc w:val="center"/>
              <w:rPr>
                <w:rFonts w:hint="eastAsia" w:ascii="楷体" w:hAnsi="楷体" w:eastAsia="楷体" w:cs="楷体"/>
                <w:b w:val="0"/>
                <w:bCs/>
                <w:snapToGrid w:val="0"/>
                <w:color w:val="000000"/>
                <w:kern w:val="0"/>
                <w:sz w:val="20"/>
                <w:szCs w:val="20"/>
                <w:lang w:val="en-US" w:eastAsia="zh-CN" w:bidi="ar-SA"/>
              </w:rPr>
            </w:pPr>
          </w:p>
        </w:tc>
        <w:tc>
          <w:tcPr>
            <w:tcW w:w="879" w:type="dxa"/>
            <w:vMerge w:val="continue"/>
            <w:tcBorders>
              <w:left w:val="single" w:color="auto" w:sz="4" w:space="0"/>
              <w:bottom w:val="single" w:color="auto" w:sz="4" w:space="0"/>
              <w:right w:val="single" w:color="auto" w:sz="4" w:space="0"/>
            </w:tcBorders>
            <w:shd w:val="clear" w:color="auto" w:fill="auto"/>
            <w:vAlign w:val="center"/>
          </w:tcPr>
          <w:p w14:paraId="74DA6912">
            <w:pPr>
              <w:spacing w:before="65" w:line="191" w:lineRule="auto"/>
              <w:jc w:val="center"/>
              <w:rPr>
                <w:rFonts w:hint="eastAsia" w:ascii="楷体" w:hAnsi="楷体" w:eastAsia="楷体" w:cs="楷体"/>
                <w:b w:val="0"/>
                <w:bCs/>
                <w:snapToGrid w:val="0"/>
                <w:color w:val="000000"/>
                <w:kern w:val="0"/>
                <w:sz w:val="20"/>
                <w:szCs w:val="20"/>
                <w:lang w:val="en-US" w:eastAsia="zh-CN" w:bidi="ar-SA"/>
              </w:rPr>
            </w:pPr>
          </w:p>
        </w:tc>
        <w:tc>
          <w:tcPr>
            <w:tcW w:w="884" w:type="dxa"/>
            <w:vMerge w:val="continue"/>
            <w:tcBorders>
              <w:left w:val="single" w:color="auto" w:sz="4" w:space="0"/>
              <w:bottom w:val="single" w:color="auto" w:sz="4" w:space="0"/>
              <w:right w:val="single" w:color="auto" w:sz="4" w:space="0"/>
            </w:tcBorders>
            <w:shd w:val="clear" w:color="auto" w:fill="auto"/>
            <w:vAlign w:val="center"/>
          </w:tcPr>
          <w:p w14:paraId="611E2845">
            <w:pPr>
              <w:spacing w:before="65" w:line="191" w:lineRule="auto"/>
              <w:jc w:val="center"/>
              <w:rPr>
                <w:rFonts w:hint="eastAsia" w:ascii="楷体" w:hAnsi="楷体" w:eastAsia="楷体" w:cs="楷体"/>
                <w:b w:val="0"/>
                <w:bCs/>
                <w:snapToGrid w:val="0"/>
                <w:color w:val="000000"/>
                <w:kern w:val="0"/>
                <w:sz w:val="20"/>
                <w:szCs w:val="20"/>
                <w:lang w:val="en-US" w:eastAsia="zh-CN" w:bidi="ar-SA"/>
              </w:rPr>
            </w:pPr>
          </w:p>
        </w:tc>
      </w:tr>
      <w:tr w14:paraId="6D537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18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E32514">
            <w:pPr>
              <w:spacing w:before="65" w:line="190" w:lineRule="auto"/>
              <w:jc w:val="center"/>
              <w:rPr>
                <w:rFonts w:ascii="楷体" w:hAnsi="楷体" w:eastAsia="楷体" w:cs="楷体"/>
                <w:b w:val="0"/>
                <w:bCs/>
                <w:snapToGrid w:val="0"/>
                <w:color w:val="000000"/>
                <w:kern w:val="0"/>
                <w:sz w:val="20"/>
                <w:szCs w:val="20"/>
                <w:lang w:val="en-US" w:eastAsia="en-US" w:bidi="ar-SA"/>
              </w:rPr>
            </w:pPr>
            <w:r>
              <w:rPr>
                <w:rFonts w:ascii="楷体" w:hAnsi="楷体" w:eastAsia="楷体" w:cs="楷体"/>
                <w:b w:val="0"/>
                <w:bCs/>
                <w:spacing w:val="1"/>
                <w:sz w:val="20"/>
                <w:szCs w:val="20"/>
              </w:rPr>
              <w:t>总计</w:t>
            </w:r>
          </w:p>
        </w:tc>
        <w:tc>
          <w:tcPr>
            <w:tcW w:w="738" w:type="dxa"/>
            <w:tcBorders>
              <w:top w:val="single" w:color="auto" w:sz="4" w:space="0"/>
              <w:left w:val="single" w:color="auto" w:sz="4" w:space="0"/>
              <w:bottom w:val="single" w:color="auto" w:sz="4" w:space="0"/>
              <w:right w:val="single" w:color="auto" w:sz="4" w:space="0"/>
            </w:tcBorders>
            <w:shd w:val="clear" w:color="auto" w:fill="auto"/>
            <w:vAlign w:val="center"/>
          </w:tcPr>
          <w:p w14:paraId="70E85819">
            <w:pPr>
              <w:spacing w:before="65" w:line="190" w:lineRule="auto"/>
              <w:jc w:val="center"/>
              <w:rPr>
                <w:rFonts w:hint="eastAsia" w:ascii="楷体" w:hAnsi="楷体" w:eastAsia="楷体" w:cs="楷体"/>
                <w:b w:val="0"/>
                <w:bCs/>
                <w:snapToGrid w:val="0"/>
                <w:color w:val="000000"/>
                <w:kern w:val="0"/>
                <w:sz w:val="20"/>
                <w:szCs w:val="20"/>
                <w:lang w:val="en-US" w:eastAsia="en-US" w:bidi="ar-SA"/>
              </w:rPr>
            </w:pPr>
            <w:r>
              <w:rPr>
                <w:rFonts w:ascii="楷体" w:hAnsi="楷体" w:eastAsia="楷体" w:cs="楷体"/>
                <w:b w:val="0"/>
                <w:bCs/>
                <w:spacing w:val="1"/>
                <w:sz w:val="20"/>
                <w:szCs w:val="20"/>
              </w:rPr>
              <w:t>6</w:t>
            </w:r>
            <w:r>
              <w:rPr>
                <w:rFonts w:hint="eastAsia" w:ascii="楷体" w:hAnsi="楷体" w:eastAsia="楷体" w:cs="楷体"/>
                <w:b w:val="0"/>
                <w:bCs/>
                <w:spacing w:val="1"/>
                <w:sz w:val="20"/>
                <w:szCs w:val="20"/>
                <w:lang w:val="en-US" w:eastAsia="zh-CN"/>
              </w:rPr>
              <w:t>3</w:t>
            </w:r>
          </w:p>
        </w:tc>
        <w:tc>
          <w:tcPr>
            <w:tcW w:w="942" w:type="dxa"/>
            <w:tcBorders>
              <w:top w:val="single" w:color="auto" w:sz="4" w:space="0"/>
              <w:left w:val="single" w:color="auto" w:sz="4" w:space="0"/>
              <w:bottom w:val="single" w:color="auto" w:sz="4" w:space="0"/>
              <w:right w:val="single" w:color="auto" w:sz="4" w:space="0"/>
            </w:tcBorders>
            <w:shd w:val="clear" w:color="auto" w:fill="auto"/>
            <w:vAlign w:val="center"/>
          </w:tcPr>
          <w:p w14:paraId="456C540D">
            <w:pPr>
              <w:spacing w:before="65" w:line="190" w:lineRule="auto"/>
              <w:jc w:val="center"/>
              <w:rPr>
                <w:rFonts w:hint="eastAsia" w:ascii="楷体" w:hAnsi="楷体" w:eastAsia="楷体" w:cs="楷体"/>
                <w:b w:val="0"/>
                <w:bCs/>
                <w:snapToGrid w:val="0"/>
                <w:color w:val="000000"/>
                <w:kern w:val="0"/>
                <w:sz w:val="20"/>
                <w:szCs w:val="20"/>
                <w:lang w:val="en-US" w:eastAsia="en-US" w:bidi="ar-SA"/>
              </w:rPr>
            </w:pPr>
            <w:r>
              <w:rPr>
                <w:rFonts w:hint="eastAsia" w:ascii="楷体" w:hAnsi="楷体" w:eastAsia="楷体" w:cs="楷体"/>
                <w:b w:val="0"/>
                <w:bCs/>
                <w:sz w:val="20"/>
                <w:szCs w:val="20"/>
                <w:lang w:val="en-US" w:eastAsia="zh-CN"/>
              </w:rPr>
              <w:t>7</w:t>
            </w:r>
          </w:p>
        </w:tc>
        <w:tc>
          <w:tcPr>
            <w:tcW w:w="743" w:type="dxa"/>
            <w:tcBorders>
              <w:top w:val="single" w:color="auto" w:sz="4" w:space="0"/>
              <w:left w:val="single" w:color="auto" w:sz="4" w:space="0"/>
              <w:bottom w:val="single" w:color="auto" w:sz="4" w:space="0"/>
              <w:right w:val="single" w:color="auto" w:sz="4" w:space="0"/>
            </w:tcBorders>
            <w:shd w:val="clear" w:color="auto" w:fill="auto"/>
            <w:vAlign w:val="center"/>
          </w:tcPr>
          <w:p w14:paraId="00488F5C">
            <w:pPr>
              <w:spacing w:before="65" w:line="190" w:lineRule="auto"/>
              <w:jc w:val="center"/>
              <w:rPr>
                <w:rFonts w:hint="eastAsia" w:ascii="Arial" w:hAnsi="Arial" w:eastAsia="宋体" w:cs="Arial"/>
                <w:b w:val="0"/>
                <w:bCs/>
                <w:snapToGrid w:val="0"/>
                <w:color w:val="000000"/>
                <w:kern w:val="0"/>
                <w:sz w:val="21"/>
                <w:szCs w:val="21"/>
                <w:lang w:val="en-US" w:eastAsia="en-US" w:bidi="ar-SA"/>
              </w:rPr>
            </w:pPr>
            <w:r>
              <w:rPr>
                <w:rFonts w:hint="eastAsia" w:ascii="楷体" w:hAnsi="楷体" w:eastAsia="楷体" w:cs="楷体"/>
                <w:b w:val="0"/>
                <w:bCs/>
                <w:sz w:val="20"/>
                <w:szCs w:val="20"/>
                <w:lang w:val="en-US" w:eastAsia="zh-CN"/>
              </w:rPr>
              <w:t>1</w:t>
            </w:r>
          </w:p>
        </w:tc>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14:paraId="6091B923">
            <w:pPr>
              <w:spacing w:before="65" w:line="191" w:lineRule="auto"/>
              <w:jc w:val="center"/>
              <w:rPr>
                <w:rFonts w:hint="default" w:ascii="楷体" w:hAnsi="楷体" w:eastAsia="楷体" w:cs="楷体"/>
                <w:b w:val="0"/>
                <w:bCs/>
                <w:snapToGrid w:val="0"/>
                <w:color w:val="000000"/>
                <w:kern w:val="0"/>
                <w:sz w:val="20"/>
                <w:szCs w:val="20"/>
                <w:lang w:val="en-US" w:eastAsia="zh-CN" w:bidi="ar-SA"/>
              </w:rPr>
            </w:pPr>
            <w:r>
              <w:rPr>
                <w:rFonts w:hint="eastAsia" w:ascii="楷体" w:hAnsi="楷体" w:eastAsia="楷体" w:cs="楷体"/>
                <w:b w:val="0"/>
                <w:bCs/>
                <w:snapToGrid w:val="0"/>
                <w:color w:val="000000"/>
                <w:kern w:val="0"/>
                <w:sz w:val="20"/>
                <w:szCs w:val="20"/>
                <w:lang w:val="en-US" w:eastAsia="zh-CN" w:bidi="ar-SA"/>
              </w:rPr>
              <w:t>32</w:t>
            </w:r>
          </w:p>
        </w:tc>
        <w:tc>
          <w:tcPr>
            <w:tcW w:w="1113" w:type="dxa"/>
            <w:tcBorders>
              <w:top w:val="single" w:color="auto" w:sz="4" w:space="0"/>
              <w:left w:val="single" w:color="auto" w:sz="4" w:space="0"/>
              <w:bottom w:val="single" w:color="auto" w:sz="4" w:space="0"/>
              <w:right w:val="single" w:color="auto" w:sz="4" w:space="0"/>
            </w:tcBorders>
            <w:shd w:val="clear" w:color="auto" w:fill="auto"/>
            <w:vAlign w:val="center"/>
          </w:tcPr>
          <w:p w14:paraId="57322987">
            <w:pPr>
              <w:spacing w:before="65" w:line="191" w:lineRule="auto"/>
              <w:jc w:val="center"/>
              <w:rPr>
                <w:rFonts w:hint="eastAsia" w:ascii="楷体" w:hAnsi="楷体" w:eastAsia="楷体" w:cs="楷体"/>
                <w:b w:val="0"/>
                <w:bCs/>
                <w:snapToGrid w:val="0"/>
                <w:color w:val="000000"/>
                <w:kern w:val="0"/>
                <w:sz w:val="20"/>
                <w:szCs w:val="20"/>
                <w:lang w:val="en-US" w:eastAsia="zh-CN" w:bidi="ar-SA"/>
              </w:rPr>
            </w:pPr>
            <w:r>
              <w:rPr>
                <w:rFonts w:hint="eastAsia" w:ascii="楷体" w:hAnsi="楷体" w:eastAsia="楷体" w:cs="楷体"/>
                <w:b w:val="0"/>
                <w:bCs/>
                <w:sz w:val="20"/>
                <w:szCs w:val="20"/>
                <w:lang w:val="en-US" w:eastAsia="zh-CN"/>
              </w:rPr>
              <w:t>4</w:t>
            </w:r>
          </w:p>
        </w:tc>
        <w:tc>
          <w:tcPr>
            <w:tcW w:w="879" w:type="dxa"/>
            <w:tcBorders>
              <w:top w:val="single" w:color="auto" w:sz="4" w:space="0"/>
              <w:left w:val="single" w:color="auto" w:sz="4" w:space="0"/>
              <w:bottom w:val="single" w:color="auto" w:sz="4" w:space="0"/>
              <w:right w:val="single" w:color="auto" w:sz="4" w:space="0"/>
            </w:tcBorders>
            <w:shd w:val="clear" w:color="auto" w:fill="auto"/>
            <w:vAlign w:val="center"/>
          </w:tcPr>
          <w:p w14:paraId="55BA1BEF">
            <w:pPr>
              <w:spacing w:before="65" w:line="191" w:lineRule="auto"/>
              <w:jc w:val="center"/>
              <w:rPr>
                <w:rFonts w:hint="default" w:ascii="楷体" w:hAnsi="楷体" w:eastAsia="楷体" w:cs="楷体"/>
                <w:b w:val="0"/>
                <w:bCs/>
                <w:snapToGrid w:val="0"/>
                <w:color w:val="000000"/>
                <w:kern w:val="0"/>
                <w:sz w:val="20"/>
                <w:szCs w:val="20"/>
                <w:lang w:val="en-US" w:eastAsia="zh-CN" w:bidi="ar-SA"/>
              </w:rPr>
            </w:pPr>
            <w:r>
              <w:rPr>
                <w:rFonts w:hint="eastAsia" w:ascii="楷体" w:hAnsi="楷体" w:eastAsia="楷体" w:cs="楷体"/>
                <w:b w:val="0"/>
                <w:bCs/>
                <w:sz w:val="20"/>
                <w:szCs w:val="20"/>
                <w:lang w:val="en-US" w:eastAsia="zh-CN"/>
              </w:rPr>
              <w:t>13</w:t>
            </w:r>
          </w:p>
        </w:tc>
        <w:tc>
          <w:tcPr>
            <w:tcW w:w="884" w:type="dxa"/>
            <w:tcBorders>
              <w:top w:val="single" w:color="auto" w:sz="4" w:space="0"/>
              <w:left w:val="single" w:color="auto" w:sz="4" w:space="0"/>
              <w:bottom w:val="single" w:color="auto" w:sz="4" w:space="0"/>
              <w:right w:val="single" w:color="auto" w:sz="4" w:space="0"/>
            </w:tcBorders>
            <w:shd w:val="clear" w:color="auto" w:fill="auto"/>
            <w:vAlign w:val="center"/>
          </w:tcPr>
          <w:p w14:paraId="461D465D">
            <w:pPr>
              <w:spacing w:before="65" w:line="191" w:lineRule="auto"/>
              <w:jc w:val="center"/>
              <w:rPr>
                <w:rFonts w:hint="default" w:ascii="楷体" w:hAnsi="楷体" w:eastAsia="楷体" w:cs="楷体"/>
                <w:b w:val="0"/>
                <w:bCs/>
                <w:snapToGrid w:val="0"/>
                <w:color w:val="000000"/>
                <w:kern w:val="0"/>
                <w:sz w:val="20"/>
                <w:szCs w:val="20"/>
                <w:lang w:val="en-US" w:eastAsia="zh-CN" w:bidi="ar-SA"/>
              </w:rPr>
            </w:pPr>
            <w:r>
              <w:rPr>
                <w:rFonts w:hint="eastAsia" w:ascii="楷体" w:hAnsi="楷体" w:eastAsia="楷体" w:cs="楷体"/>
                <w:b w:val="0"/>
                <w:bCs/>
                <w:sz w:val="20"/>
                <w:szCs w:val="20"/>
                <w:lang w:val="en-US" w:eastAsia="zh-CN"/>
              </w:rPr>
              <w:t>120</w:t>
            </w:r>
          </w:p>
        </w:tc>
      </w:tr>
    </w:tbl>
    <w:p w14:paraId="6546632F">
      <w:pPr>
        <w:rPr>
          <w:rFonts w:ascii="Arial"/>
          <w:sz w:val="21"/>
        </w:rPr>
      </w:pPr>
    </w:p>
    <w:p w14:paraId="205AD9AD">
      <w:pPr>
        <w:pStyle w:val="3"/>
        <w:bidi w:val="0"/>
        <w:rPr>
          <w:rFonts w:hint="eastAsia"/>
          <w:lang w:val="en-US" w:eastAsia="zh-CN"/>
        </w:rPr>
      </w:pPr>
      <w:bookmarkStart w:id="27" w:name="_Toc18056"/>
      <w:bookmarkStart w:id="28" w:name="_Toc26024"/>
      <w:r>
        <w:rPr>
          <w:rFonts w:hint="eastAsia"/>
          <w:lang w:val="en-US" w:eastAsia="zh-CN"/>
        </w:rPr>
        <w:t>（二）教学计划进程表</w:t>
      </w:r>
      <w:bookmarkEnd w:id="27"/>
      <w:bookmarkEnd w:id="28"/>
    </w:p>
    <w:p w14:paraId="3931A9E8">
      <w:pPr>
        <w:pStyle w:val="4"/>
        <w:spacing w:before="175" w:line="228" w:lineRule="auto"/>
        <w:jc w:val="center"/>
        <w:rPr>
          <w:rFonts w:hint="eastAsia"/>
          <w:b/>
          <w:bCs/>
          <w:spacing w:val="5"/>
          <w:lang w:val="en-US" w:eastAsia="zh-CN"/>
        </w:rPr>
      </w:pPr>
      <w:r>
        <w:rPr>
          <w:rFonts w:hint="eastAsia"/>
          <w:b/>
          <w:bCs/>
          <w:spacing w:val="5"/>
          <w:lang w:val="en-US" w:eastAsia="zh-CN"/>
        </w:rPr>
        <w:t>2026级口腔医学技术专业教学计划进程表</w:t>
      </w:r>
    </w:p>
    <w:tbl>
      <w:tblPr>
        <w:tblStyle w:val="8"/>
        <w:tblpPr w:leftFromText="180" w:rightFromText="180" w:vertAnchor="text" w:horzAnchor="page" w:tblpX="1207" w:tblpY="419"/>
        <w:tblOverlap w:val="never"/>
        <w:tblW w:w="105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4"/>
        <w:gridCol w:w="1496"/>
        <w:gridCol w:w="640"/>
        <w:gridCol w:w="585"/>
        <w:gridCol w:w="720"/>
        <w:gridCol w:w="720"/>
        <w:gridCol w:w="690"/>
        <w:gridCol w:w="690"/>
        <w:gridCol w:w="690"/>
        <w:gridCol w:w="705"/>
        <w:gridCol w:w="735"/>
        <w:gridCol w:w="720"/>
        <w:gridCol w:w="780"/>
        <w:gridCol w:w="780"/>
      </w:tblGrid>
      <w:tr w14:paraId="6797F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C7100B">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课程</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模块</w:t>
            </w:r>
          </w:p>
        </w:tc>
        <w:tc>
          <w:tcPr>
            <w:tcW w:w="14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13E1B0">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课程名称</w:t>
            </w:r>
          </w:p>
        </w:tc>
        <w:tc>
          <w:tcPr>
            <w:tcW w:w="6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177AE2">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hint="eastAsia" w:ascii="宋体" w:hAnsi="宋体" w:eastAsia="宋体" w:cs="宋体"/>
                <w:b/>
                <w:bCs/>
                <w:i w:val="0"/>
                <w:iCs w:val="0"/>
                <w:snapToGrid w:val="0"/>
                <w:color w:val="000000"/>
                <w:kern w:val="0"/>
                <w:sz w:val="20"/>
                <w:szCs w:val="20"/>
                <w:u w:val="none"/>
                <w:lang w:val="en-US" w:eastAsia="zh-CN" w:bidi="ar"/>
              </w:rPr>
              <w:t>考核方式</w:t>
            </w:r>
          </w:p>
        </w:tc>
        <w:tc>
          <w:tcPr>
            <w:tcW w:w="5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9BA972">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hint="eastAsia" w:ascii="宋体" w:hAnsi="宋体" w:eastAsia="宋体" w:cs="宋体"/>
                <w:b/>
                <w:bCs/>
                <w:i w:val="0"/>
                <w:iCs w:val="0"/>
                <w:snapToGrid w:val="0"/>
                <w:color w:val="000000"/>
                <w:kern w:val="0"/>
                <w:sz w:val="20"/>
                <w:szCs w:val="20"/>
                <w:u w:val="none"/>
                <w:lang w:val="en-US" w:eastAsia="zh-CN" w:bidi="ar"/>
              </w:rPr>
              <w:t>考试学期</w:t>
            </w:r>
          </w:p>
        </w:tc>
        <w:tc>
          <w:tcPr>
            <w:tcW w:w="720" w:type="dxa"/>
            <w:vMerge w:val="restart"/>
            <w:tcBorders>
              <w:top w:val="single" w:color="000000" w:sz="4" w:space="0"/>
              <w:left w:val="single" w:color="000000" w:sz="4" w:space="0"/>
              <w:right w:val="single" w:color="000000" w:sz="4" w:space="0"/>
            </w:tcBorders>
            <w:shd w:val="clear" w:color="auto" w:fill="auto"/>
            <w:vAlign w:val="center"/>
          </w:tcPr>
          <w:p w14:paraId="2A6EBC7E">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开课单位</w:t>
            </w:r>
          </w:p>
        </w:tc>
        <w:tc>
          <w:tcPr>
            <w:tcW w:w="720" w:type="dxa"/>
            <w:vMerge w:val="restart"/>
            <w:tcBorders>
              <w:top w:val="single" w:color="000000" w:sz="4" w:space="0"/>
              <w:left w:val="single" w:color="000000" w:sz="4" w:space="0"/>
              <w:right w:val="single" w:color="000000" w:sz="4" w:space="0"/>
            </w:tcBorders>
            <w:shd w:val="clear" w:color="auto" w:fill="auto"/>
            <w:vAlign w:val="center"/>
          </w:tcPr>
          <w:p w14:paraId="40A8B72E">
            <w:pPr>
              <w:keepNext w:val="0"/>
              <w:keepLines w:val="0"/>
              <w:widowControl/>
              <w:suppressLineNumbers w:val="0"/>
              <w:jc w:val="center"/>
              <w:textAlignment w:val="center"/>
              <w:rPr>
                <w:rFonts w:ascii="宋体" w:hAnsi="宋体" w:eastAsia="宋体" w:cs="宋体"/>
                <w:b/>
                <w:bCs/>
                <w:i w:val="0"/>
                <w:iCs w:val="0"/>
                <w:snapToGrid w:val="0"/>
                <w:color w:val="000000"/>
                <w:kern w:val="0"/>
                <w:sz w:val="15"/>
                <w:szCs w:val="15"/>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学分</w:t>
            </w:r>
          </w:p>
        </w:tc>
        <w:tc>
          <w:tcPr>
            <w:tcW w:w="2070" w:type="dxa"/>
            <w:gridSpan w:val="3"/>
            <w:vMerge w:val="restart"/>
            <w:tcBorders>
              <w:top w:val="single" w:color="000000" w:sz="4" w:space="0"/>
              <w:left w:val="single" w:color="000000" w:sz="4" w:space="0"/>
              <w:right w:val="single" w:color="000000" w:sz="4" w:space="0"/>
            </w:tcBorders>
            <w:shd w:val="clear" w:color="auto" w:fill="auto"/>
            <w:vAlign w:val="center"/>
          </w:tcPr>
          <w:p w14:paraId="648D1BB6">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学时数</w:t>
            </w:r>
          </w:p>
        </w:tc>
        <w:tc>
          <w:tcPr>
            <w:tcW w:w="3720" w:type="dxa"/>
            <w:gridSpan w:val="5"/>
            <w:tcBorders>
              <w:top w:val="single" w:color="000000" w:sz="4" w:space="0"/>
              <w:left w:val="single" w:color="000000" w:sz="4" w:space="0"/>
              <w:bottom w:val="single" w:color="000000" w:sz="4" w:space="0"/>
              <w:right w:val="single" w:color="auto" w:sz="4" w:space="0"/>
            </w:tcBorders>
            <w:shd w:val="clear" w:color="auto" w:fill="auto"/>
            <w:vAlign w:val="center"/>
          </w:tcPr>
          <w:p w14:paraId="66F189A6">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按学年及学期分配</w:t>
            </w:r>
          </w:p>
        </w:tc>
      </w:tr>
      <w:tr w14:paraId="3B8F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B776A">
            <w:pPr>
              <w:jc w:val="center"/>
              <w:rPr>
                <w:rFonts w:hint="eastAsia" w:ascii="宋体" w:hAnsi="宋体" w:eastAsia="宋体" w:cs="宋体"/>
                <w:b/>
                <w:bCs/>
                <w:i w:val="0"/>
                <w:iCs w:val="0"/>
                <w:color w:val="000000"/>
                <w:sz w:val="15"/>
                <w:szCs w:val="15"/>
                <w:u w:val="none"/>
              </w:rPr>
            </w:pPr>
          </w:p>
        </w:tc>
        <w:tc>
          <w:tcPr>
            <w:tcW w:w="1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A7060">
            <w:pPr>
              <w:jc w:val="center"/>
              <w:rPr>
                <w:rFonts w:hint="eastAsia" w:ascii="宋体" w:hAnsi="宋体" w:eastAsia="宋体" w:cs="宋体"/>
                <w:b/>
                <w:bCs/>
                <w:i w:val="0"/>
                <w:iCs w:val="0"/>
                <w:color w:val="000000"/>
                <w:sz w:val="15"/>
                <w:szCs w:val="15"/>
                <w:u w:val="none"/>
              </w:rPr>
            </w:pPr>
          </w:p>
        </w:tc>
        <w:tc>
          <w:tcPr>
            <w:tcW w:w="6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D7FA9">
            <w:pPr>
              <w:jc w:val="center"/>
              <w:rPr>
                <w:rFonts w:hint="eastAsia" w:ascii="宋体" w:hAnsi="宋体" w:eastAsia="宋体" w:cs="宋体"/>
                <w:b/>
                <w:bCs/>
                <w:i w:val="0"/>
                <w:iCs w:val="0"/>
                <w:color w:val="000000"/>
                <w:sz w:val="15"/>
                <w:szCs w:val="15"/>
                <w:u w:val="none"/>
              </w:rPr>
            </w:pP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42A14">
            <w:pPr>
              <w:jc w:val="center"/>
              <w:rPr>
                <w:rFonts w:hint="eastAsia" w:ascii="宋体" w:hAnsi="宋体" w:eastAsia="宋体" w:cs="宋体"/>
                <w:b/>
                <w:bCs/>
                <w:i w:val="0"/>
                <w:iCs w:val="0"/>
                <w:color w:val="000000"/>
                <w:sz w:val="15"/>
                <w:szCs w:val="15"/>
                <w:u w:val="none"/>
              </w:rPr>
            </w:pPr>
          </w:p>
        </w:tc>
        <w:tc>
          <w:tcPr>
            <w:tcW w:w="720" w:type="dxa"/>
            <w:vMerge w:val="continue"/>
            <w:tcBorders>
              <w:left w:val="single" w:color="000000" w:sz="4" w:space="0"/>
              <w:right w:val="single" w:color="000000" w:sz="4" w:space="0"/>
            </w:tcBorders>
            <w:shd w:val="clear" w:color="auto" w:fill="auto"/>
            <w:vAlign w:val="top"/>
          </w:tcPr>
          <w:p w14:paraId="0CBC2F72">
            <w:pPr>
              <w:jc w:val="center"/>
              <w:rPr>
                <w:rFonts w:hint="eastAsia" w:ascii="宋体" w:hAnsi="宋体" w:eastAsia="宋体" w:cs="宋体"/>
                <w:b/>
                <w:bCs/>
                <w:i w:val="0"/>
                <w:iCs w:val="0"/>
                <w:color w:val="000000"/>
                <w:sz w:val="15"/>
                <w:szCs w:val="15"/>
                <w:u w:val="none"/>
              </w:rPr>
            </w:pPr>
          </w:p>
        </w:tc>
        <w:tc>
          <w:tcPr>
            <w:tcW w:w="720" w:type="dxa"/>
            <w:vMerge w:val="continue"/>
            <w:tcBorders>
              <w:left w:val="single" w:color="000000" w:sz="4" w:space="0"/>
              <w:right w:val="single" w:color="000000" w:sz="4" w:space="0"/>
            </w:tcBorders>
            <w:shd w:val="clear" w:color="auto" w:fill="auto"/>
            <w:vAlign w:val="top"/>
          </w:tcPr>
          <w:p w14:paraId="0E3402E1">
            <w:pPr>
              <w:jc w:val="center"/>
              <w:rPr>
                <w:rFonts w:hint="eastAsia" w:ascii="宋体" w:hAnsi="宋体" w:eastAsia="宋体" w:cs="宋体"/>
                <w:b/>
                <w:bCs/>
                <w:i w:val="0"/>
                <w:iCs w:val="0"/>
                <w:color w:val="000000"/>
                <w:sz w:val="15"/>
                <w:szCs w:val="15"/>
                <w:u w:val="none"/>
              </w:rPr>
            </w:pPr>
          </w:p>
        </w:tc>
        <w:tc>
          <w:tcPr>
            <w:tcW w:w="2070" w:type="dxa"/>
            <w:gridSpan w:val="3"/>
            <w:vMerge w:val="continue"/>
            <w:tcBorders>
              <w:left w:val="single" w:color="000000" w:sz="4" w:space="0"/>
              <w:bottom w:val="single" w:color="000000" w:sz="4" w:space="0"/>
              <w:right w:val="single" w:color="000000" w:sz="4" w:space="0"/>
            </w:tcBorders>
            <w:shd w:val="clear" w:color="auto" w:fill="auto"/>
            <w:vAlign w:val="top"/>
          </w:tcPr>
          <w:p w14:paraId="1A9463D8">
            <w:pPr>
              <w:jc w:val="left"/>
              <w:rPr>
                <w:rFonts w:hint="default" w:ascii="Arial" w:hAnsi="Arial" w:cs="Arial"/>
                <w:i w:val="0"/>
                <w:iCs w:val="0"/>
                <w:color w:val="000000"/>
                <w:sz w:val="15"/>
                <w:szCs w:val="15"/>
                <w:u w:val="none"/>
              </w:rPr>
            </w:pP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9EA5EB">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第一学年</w:t>
            </w:r>
          </w:p>
        </w:tc>
        <w:tc>
          <w:tcPr>
            <w:tcW w:w="1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E9CF49">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第二学年</w:t>
            </w:r>
          </w:p>
        </w:tc>
        <w:tc>
          <w:tcPr>
            <w:tcW w:w="780" w:type="dxa"/>
            <w:tcBorders>
              <w:top w:val="single" w:color="000000" w:sz="4" w:space="0"/>
              <w:left w:val="single" w:color="000000" w:sz="4" w:space="0"/>
              <w:bottom w:val="single" w:color="000000" w:sz="4" w:space="0"/>
              <w:right w:val="single" w:color="auto" w:sz="4" w:space="0"/>
            </w:tcBorders>
            <w:shd w:val="clear" w:color="auto" w:fill="auto"/>
            <w:vAlign w:val="center"/>
          </w:tcPr>
          <w:p w14:paraId="71DB53CC">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第三学年</w:t>
            </w:r>
          </w:p>
        </w:tc>
      </w:tr>
      <w:tr w14:paraId="6FDD3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9"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2537D">
            <w:pPr>
              <w:jc w:val="center"/>
              <w:rPr>
                <w:rFonts w:hint="eastAsia" w:ascii="宋体" w:hAnsi="宋体" w:eastAsia="宋体" w:cs="宋体"/>
                <w:b/>
                <w:bCs/>
                <w:i w:val="0"/>
                <w:iCs w:val="0"/>
                <w:color w:val="000000"/>
                <w:sz w:val="15"/>
                <w:szCs w:val="15"/>
                <w:u w:val="none"/>
              </w:rPr>
            </w:pPr>
          </w:p>
        </w:tc>
        <w:tc>
          <w:tcPr>
            <w:tcW w:w="1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FBE54">
            <w:pPr>
              <w:jc w:val="center"/>
              <w:rPr>
                <w:rFonts w:hint="eastAsia" w:ascii="宋体" w:hAnsi="宋体" w:eastAsia="宋体" w:cs="宋体"/>
                <w:b/>
                <w:bCs/>
                <w:i w:val="0"/>
                <w:iCs w:val="0"/>
                <w:color w:val="000000"/>
                <w:sz w:val="15"/>
                <w:szCs w:val="15"/>
                <w:u w:val="none"/>
              </w:rPr>
            </w:pPr>
          </w:p>
        </w:tc>
        <w:tc>
          <w:tcPr>
            <w:tcW w:w="6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59418">
            <w:pPr>
              <w:jc w:val="center"/>
              <w:rPr>
                <w:rFonts w:hint="eastAsia" w:ascii="宋体" w:hAnsi="宋体" w:eastAsia="宋体" w:cs="宋体"/>
                <w:b/>
                <w:bCs/>
                <w:i w:val="0"/>
                <w:iCs w:val="0"/>
                <w:color w:val="000000"/>
                <w:sz w:val="15"/>
                <w:szCs w:val="15"/>
                <w:u w:val="none"/>
              </w:rPr>
            </w:pP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0B7D4F">
            <w:pPr>
              <w:jc w:val="center"/>
              <w:rPr>
                <w:rFonts w:hint="eastAsia" w:ascii="宋体" w:hAnsi="宋体" w:eastAsia="宋体" w:cs="宋体"/>
                <w:b/>
                <w:bCs/>
                <w:i w:val="0"/>
                <w:iCs w:val="0"/>
                <w:color w:val="000000"/>
                <w:sz w:val="15"/>
                <w:szCs w:val="15"/>
                <w:u w:val="none"/>
              </w:rPr>
            </w:pPr>
          </w:p>
        </w:tc>
        <w:tc>
          <w:tcPr>
            <w:tcW w:w="720" w:type="dxa"/>
            <w:vMerge w:val="continue"/>
            <w:tcBorders>
              <w:left w:val="single" w:color="000000" w:sz="4" w:space="0"/>
              <w:right w:val="single" w:color="000000" w:sz="4" w:space="0"/>
            </w:tcBorders>
            <w:shd w:val="clear" w:color="auto" w:fill="auto"/>
            <w:vAlign w:val="center"/>
          </w:tcPr>
          <w:p w14:paraId="55F5AA85">
            <w:pPr>
              <w:jc w:val="center"/>
              <w:rPr>
                <w:rFonts w:hint="eastAsia" w:ascii="宋体" w:hAnsi="宋体" w:eastAsia="宋体" w:cs="宋体"/>
                <w:b/>
                <w:bCs/>
                <w:i w:val="0"/>
                <w:iCs w:val="0"/>
                <w:color w:val="000000"/>
                <w:sz w:val="15"/>
                <w:szCs w:val="15"/>
                <w:u w:val="none"/>
              </w:rPr>
            </w:pPr>
          </w:p>
        </w:tc>
        <w:tc>
          <w:tcPr>
            <w:tcW w:w="720" w:type="dxa"/>
            <w:vMerge w:val="continue"/>
            <w:tcBorders>
              <w:left w:val="single" w:color="000000" w:sz="4" w:space="0"/>
              <w:right w:val="single" w:color="000000" w:sz="4" w:space="0"/>
            </w:tcBorders>
            <w:shd w:val="clear" w:color="auto" w:fill="auto"/>
            <w:vAlign w:val="center"/>
          </w:tcPr>
          <w:p w14:paraId="1286D869">
            <w:pPr>
              <w:jc w:val="center"/>
              <w:rPr>
                <w:rFonts w:hint="eastAsia" w:ascii="宋体" w:hAnsi="宋体" w:eastAsia="宋体" w:cs="宋体"/>
                <w:b/>
                <w:bCs/>
                <w:i w:val="0"/>
                <w:iCs w:val="0"/>
                <w:color w:val="000000"/>
                <w:sz w:val="15"/>
                <w:szCs w:val="15"/>
                <w:u w:val="none"/>
              </w:rPr>
            </w:pPr>
          </w:p>
        </w:tc>
        <w:tc>
          <w:tcPr>
            <w:tcW w:w="690" w:type="dxa"/>
            <w:vMerge w:val="restart"/>
            <w:tcBorders>
              <w:top w:val="single" w:color="000000" w:sz="4" w:space="0"/>
              <w:left w:val="single" w:color="000000" w:sz="4" w:space="0"/>
              <w:right w:val="single" w:color="000000" w:sz="4" w:space="0"/>
            </w:tcBorders>
            <w:shd w:val="clear" w:color="auto" w:fill="auto"/>
            <w:vAlign w:val="center"/>
          </w:tcPr>
          <w:p w14:paraId="52898E2F">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总计</w:t>
            </w:r>
          </w:p>
        </w:tc>
        <w:tc>
          <w:tcPr>
            <w:tcW w:w="690" w:type="dxa"/>
            <w:vMerge w:val="restart"/>
            <w:tcBorders>
              <w:top w:val="single" w:color="000000" w:sz="4" w:space="0"/>
              <w:left w:val="single" w:color="000000" w:sz="4" w:space="0"/>
              <w:right w:val="single" w:color="000000" w:sz="4" w:space="0"/>
            </w:tcBorders>
            <w:shd w:val="clear" w:color="auto" w:fill="auto"/>
            <w:vAlign w:val="center"/>
          </w:tcPr>
          <w:p w14:paraId="4C38DF07">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理论</w:t>
            </w:r>
          </w:p>
        </w:tc>
        <w:tc>
          <w:tcPr>
            <w:tcW w:w="690" w:type="dxa"/>
            <w:vMerge w:val="restart"/>
            <w:tcBorders>
              <w:top w:val="single" w:color="000000" w:sz="4" w:space="0"/>
              <w:left w:val="single" w:color="000000" w:sz="4" w:space="0"/>
              <w:right w:val="single" w:color="000000" w:sz="4" w:space="0"/>
            </w:tcBorders>
            <w:shd w:val="clear" w:color="auto" w:fill="auto"/>
            <w:vAlign w:val="center"/>
          </w:tcPr>
          <w:p w14:paraId="3E55FB87">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实践</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top"/>
          </w:tcPr>
          <w:p w14:paraId="07CA607B">
            <w:pPr>
              <w:keepNext w:val="0"/>
              <w:keepLines w:val="0"/>
              <w:widowControl/>
              <w:suppressLineNumbers w:val="0"/>
              <w:jc w:val="center"/>
              <w:textAlignment w:val="top"/>
              <w:rPr>
                <w:rFonts w:ascii="宋体" w:hAnsi="宋体" w:eastAsia="宋体" w:cs="宋体"/>
                <w:i w:val="0"/>
                <w:iCs w:val="0"/>
                <w:color w:val="000000"/>
                <w:sz w:val="15"/>
                <w:szCs w:val="15"/>
                <w:u w:val="none"/>
              </w:rPr>
            </w:pPr>
            <w:r>
              <w:rPr>
                <w:rFonts w:ascii="宋体" w:hAnsi="宋体" w:eastAsia="宋体" w:cs="宋体"/>
                <w:i w:val="0"/>
                <w:iCs w:val="0"/>
                <w:snapToGrid w:val="0"/>
                <w:color w:val="000000"/>
                <w:kern w:val="0"/>
                <w:sz w:val="15"/>
                <w:szCs w:val="15"/>
                <w:u w:val="none"/>
                <w:lang w:val="en-US" w:eastAsia="zh-CN" w:bidi="ar"/>
              </w:rPr>
              <w:t xml:space="preserve">1 </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top"/>
          </w:tcPr>
          <w:p w14:paraId="365E7A3B">
            <w:pPr>
              <w:keepNext w:val="0"/>
              <w:keepLines w:val="0"/>
              <w:widowControl/>
              <w:suppressLineNumbers w:val="0"/>
              <w:jc w:val="center"/>
              <w:textAlignment w:val="top"/>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 xml:space="preserve">2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top"/>
          </w:tcPr>
          <w:p w14:paraId="19C1B1C5">
            <w:pPr>
              <w:keepNext w:val="0"/>
              <w:keepLines w:val="0"/>
              <w:widowControl/>
              <w:suppressLineNumbers w:val="0"/>
              <w:jc w:val="center"/>
              <w:textAlignment w:val="top"/>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 xml:space="preserve">3 </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top"/>
          </w:tcPr>
          <w:p w14:paraId="29A13898">
            <w:pPr>
              <w:keepNext w:val="0"/>
              <w:keepLines w:val="0"/>
              <w:widowControl/>
              <w:suppressLineNumbers w:val="0"/>
              <w:jc w:val="center"/>
              <w:textAlignment w:val="top"/>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 xml:space="preserve">4 </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top"/>
          </w:tcPr>
          <w:p w14:paraId="2CD0A0F7">
            <w:pPr>
              <w:keepNext w:val="0"/>
              <w:keepLines w:val="0"/>
              <w:widowControl/>
              <w:suppressLineNumbers w:val="0"/>
              <w:jc w:val="center"/>
              <w:textAlignment w:val="top"/>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5</w:t>
            </w:r>
            <w:r>
              <w:rPr>
                <w:rFonts w:ascii="宋体" w:hAnsi="宋体" w:eastAsia="宋体" w:cs="宋体"/>
                <w:i w:val="0"/>
                <w:iCs w:val="0"/>
                <w:snapToGrid w:val="0"/>
                <w:color w:val="000000"/>
                <w:kern w:val="0"/>
                <w:sz w:val="15"/>
                <w:szCs w:val="15"/>
                <w:u w:val="none"/>
                <w:lang w:val="en-US" w:eastAsia="zh-CN" w:bidi="ar"/>
              </w:rPr>
              <w:t xml:space="preserve">   </w:t>
            </w:r>
            <w:r>
              <w:rPr>
                <w:rFonts w:ascii="宋体" w:hAnsi="宋体" w:eastAsia="宋体" w:cs="宋体"/>
                <w:b/>
                <w:bCs/>
                <w:i w:val="0"/>
                <w:iCs w:val="0"/>
                <w:snapToGrid w:val="0"/>
                <w:color w:val="000000"/>
                <w:kern w:val="0"/>
                <w:sz w:val="15"/>
                <w:szCs w:val="15"/>
                <w:u w:val="none"/>
                <w:lang w:val="en-US" w:eastAsia="zh-CN" w:bidi="ar"/>
              </w:rPr>
              <w:t>6</w:t>
            </w:r>
          </w:p>
        </w:tc>
      </w:tr>
      <w:tr w14:paraId="6EE97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18E29">
            <w:pPr>
              <w:jc w:val="center"/>
              <w:rPr>
                <w:rFonts w:hint="eastAsia" w:ascii="宋体" w:hAnsi="宋体" w:eastAsia="宋体" w:cs="宋体"/>
                <w:b/>
                <w:bCs/>
                <w:i w:val="0"/>
                <w:iCs w:val="0"/>
                <w:color w:val="000000"/>
                <w:sz w:val="15"/>
                <w:szCs w:val="15"/>
                <w:u w:val="none"/>
              </w:rPr>
            </w:pPr>
          </w:p>
        </w:tc>
        <w:tc>
          <w:tcPr>
            <w:tcW w:w="1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9B529">
            <w:pPr>
              <w:jc w:val="center"/>
              <w:rPr>
                <w:rFonts w:hint="eastAsia" w:ascii="宋体" w:hAnsi="宋体" w:eastAsia="宋体" w:cs="宋体"/>
                <w:b/>
                <w:bCs/>
                <w:i w:val="0"/>
                <w:iCs w:val="0"/>
                <w:color w:val="000000"/>
                <w:sz w:val="15"/>
                <w:szCs w:val="15"/>
                <w:u w:val="none"/>
              </w:rPr>
            </w:pPr>
          </w:p>
        </w:tc>
        <w:tc>
          <w:tcPr>
            <w:tcW w:w="6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758CE">
            <w:pPr>
              <w:jc w:val="center"/>
              <w:rPr>
                <w:rFonts w:hint="eastAsia" w:ascii="宋体" w:hAnsi="宋体" w:eastAsia="宋体" w:cs="宋体"/>
                <w:b/>
                <w:bCs/>
                <w:i w:val="0"/>
                <w:iCs w:val="0"/>
                <w:color w:val="000000"/>
                <w:sz w:val="15"/>
                <w:szCs w:val="15"/>
                <w:u w:val="none"/>
              </w:rPr>
            </w:pPr>
          </w:p>
        </w:tc>
        <w:tc>
          <w:tcPr>
            <w:tcW w:w="5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238D6">
            <w:pPr>
              <w:jc w:val="center"/>
              <w:rPr>
                <w:rFonts w:hint="eastAsia" w:ascii="宋体" w:hAnsi="宋体" w:eastAsia="宋体" w:cs="宋体"/>
                <w:b/>
                <w:bCs/>
                <w:i w:val="0"/>
                <w:iCs w:val="0"/>
                <w:color w:val="000000"/>
                <w:sz w:val="15"/>
                <w:szCs w:val="15"/>
                <w:u w:val="none"/>
              </w:rPr>
            </w:pPr>
          </w:p>
        </w:tc>
        <w:tc>
          <w:tcPr>
            <w:tcW w:w="720" w:type="dxa"/>
            <w:vMerge w:val="continue"/>
            <w:tcBorders>
              <w:left w:val="single" w:color="000000" w:sz="4" w:space="0"/>
              <w:right w:val="single" w:color="000000" w:sz="4" w:space="0"/>
            </w:tcBorders>
            <w:shd w:val="clear" w:color="auto" w:fill="auto"/>
            <w:vAlign w:val="top"/>
          </w:tcPr>
          <w:p w14:paraId="32CAEC58">
            <w:pPr>
              <w:jc w:val="center"/>
              <w:rPr>
                <w:rFonts w:hint="eastAsia" w:ascii="宋体" w:hAnsi="宋体" w:eastAsia="宋体" w:cs="宋体"/>
                <w:b/>
                <w:bCs/>
                <w:i w:val="0"/>
                <w:iCs w:val="0"/>
                <w:color w:val="000000"/>
                <w:sz w:val="15"/>
                <w:szCs w:val="15"/>
                <w:u w:val="none"/>
              </w:rPr>
            </w:pPr>
          </w:p>
        </w:tc>
        <w:tc>
          <w:tcPr>
            <w:tcW w:w="720" w:type="dxa"/>
            <w:vMerge w:val="continue"/>
            <w:tcBorders>
              <w:left w:val="single" w:color="000000" w:sz="4" w:space="0"/>
              <w:right w:val="single" w:color="000000" w:sz="4" w:space="0"/>
            </w:tcBorders>
            <w:shd w:val="clear" w:color="auto" w:fill="auto"/>
            <w:vAlign w:val="top"/>
          </w:tcPr>
          <w:p w14:paraId="12396AAF">
            <w:pPr>
              <w:jc w:val="center"/>
              <w:rPr>
                <w:rFonts w:hint="eastAsia" w:ascii="宋体" w:hAnsi="宋体" w:eastAsia="宋体" w:cs="宋体"/>
                <w:b/>
                <w:bCs/>
                <w:i w:val="0"/>
                <w:iCs w:val="0"/>
                <w:color w:val="000000"/>
                <w:sz w:val="15"/>
                <w:szCs w:val="15"/>
                <w:u w:val="none"/>
              </w:rPr>
            </w:pPr>
          </w:p>
        </w:tc>
        <w:tc>
          <w:tcPr>
            <w:tcW w:w="690" w:type="dxa"/>
            <w:vMerge w:val="continue"/>
            <w:tcBorders>
              <w:left w:val="single" w:color="000000" w:sz="4" w:space="0"/>
              <w:right w:val="single" w:color="000000" w:sz="4" w:space="0"/>
            </w:tcBorders>
            <w:shd w:val="clear" w:color="auto" w:fill="auto"/>
            <w:vAlign w:val="top"/>
          </w:tcPr>
          <w:p w14:paraId="5CA96E2B">
            <w:pPr>
              <w:jc w:val="center"/>
              <w:rPr>
                <w:rFonts w:hint="default" w:ascii="Arial" w:hAnsi="Arial" w:cs="Arial"/>
                <w:i w:val="0"/>
                <w:iCs w:val="0"/>
                <w:color w:val="000000"/>
                <w:sz w:val="15"/>
                <w:szCs w:val="15"/>
                <w:u w:val="none"/>
              </w:rPr>
            </w:pPr>
          </w:p>
        </w:tc>
        <w:tc>
          <w:tcPr>
            <w:tcW w:w="690" w:type="dxa"/>
            <w:vMerge w:val="continue"/>
            <w:tcBorders>
              <w:left w:val="single" w:color="000000" w:sz="4" w:space="0"/>
              <w:right w:val="single" w:color="000000" w:sz="4" w:space="0"/>
            </w:tcBorders>
            <w:shd w:val="clear" w:color="auto" w:fill="auto"/>
            <w:vAlign w:val="top"/>
          </w:tcPr>
          <w:p w14:paraId="6D64373A">
            <w:pPr>
              <w:jc w:val="center"/>
              <w:rPr>
                <w:rFonts w:hint="default" w:ascii="Arial" w:hAnsi="Arial" w:cs="Arial"/>
                <w:i w:val="0"/>
                <w:iCs w:val="0"/>
                <w:color w:val="000000"/>
                <w:sz w:val="15"/>
                <w:szCs w:val="15"/>
                <w:u w:val="none"/>
              </w:rPr>
            </w:pPr>
          </w:p>
        </w:tc>
        <w:tc>
          <w:tcPr>
            <w:tcW w:w="690" w:type="dxa"/>
            <w:vMerge w:val="continue"/>
            <w:tcBorders>
              <w:left w:val="single" w:color="000000" w:sz="4" w:space="0"/>
              <w:right w:val="single" w:color="000000" w:sz="4" w:space="0"/>
            </w:tcBorders>
            <w:shd w:val="clear" w:color="auto" w:fill="auto"/>
            <w:vAlign w:val="top"/>
          </w:tcPr>
          <w:p w14:paraId="56CCF8B2">
            <w:pPr>
              <w:jc w:val="center"/>
              <w:rPr>
                <w:rFonts w:hint="default" w:ascii="Arial" w:hAnsi="Arial" w:cs="Arial"/>
                <w:i w:val="0"/>
                <w:iCs w:val="0"/>
                <w:color w:val="000000"/>
                <w:sz w:val="15"/>
                <w:szCs w:val="15"/>
                <w:u w:val="none"/>
              </w:rPr>
            </w:pPr>
          </w:p>
        </w:tc>
        <w:tc>
          <w:tcPr>
            <w:tcW w:w="705" w:type="dxa"/>
            <w:tcBorders>
              <w:top w:val="single" w:color="000000" w:sz="4" w:space="0"/>
              <w:left w:val="single" w:color="000000" w:sz="4" w:space="0"/>
              <w:bottom w:val="nil"/>
              <w:right w:val="single" w:color="000000" w:sz="4" w:space="0"/>
            </w:tcBorders>
            <w:shd w:val="clear" w:color="auto" w:fill="auto"/>
            <w:vAlign w:val="center"/>
          </w:tcPr>
          <w:p w14:paraId="1F4884A8">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16周</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6A39">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16周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ED45">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16周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F1381">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16周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6847">
            <w:pPr>
              <w:keepNext w:val="0"/>
              <w:keepLines w:val="0"/>
              <w:widowControl/>
              <w:suppressLineNumbers w:val="0"/>
              <w:jc w:val="center"/>
              <w:textAlignment w:val="center"/>
              <w:rPr>
                <w:rFonts w:ascii="宋体" w:hAnsi="宋体" w:eastAsia="宋体" w:cs="宋体"/>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实习</w:t>
            </w:r>
          </w:p>
        </w:tc>
      </w:tr>
      <w:tr w14:paraId="29AD1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4F3FE7">
            <w:pPr>
              <w:keepNext w:val="0"/>
              <w:keepLines w:val="0"/>
              <w:widowControl/>
              <w:suppressLineNumbers w:val="0"/>
              <w:jc w:val="center"/>
              <w:textAlignment w:val="center"/>
              <w:rPr>
                <w:rFonts w:ascii="宋体" w:hAnsi="宋体" w:eastAsia="宋体" w:cs="宋体"/>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公共</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基础</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课程</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E14D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思想道德与法治</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25B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74C29">
            <w:pPr>
              <w:jc w:val="cente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A2E73">
            <w:pPr>
              <w:jc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马克思主义学院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2AA1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3C3E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76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4A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729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 ❖</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53B4">
            <w:pPr>
              <w:jc w:val="center"/>
              <w:rPr>
                <w:rFonts w:hint="eastAsia"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601E">
            <w:pPr>
              <w:jc w:val="center"/>
              <w:rPr>
                <w:rFonts w:hint="eastAsia" w:ascii="宋体" w:hAnsi="宋体" w:eastAsia="宋体" w:cs="宋体"/>
                <w:i w:val="0"/>
                <w:iCs w:val="0"/>
                <w:color w:val="000000"/>
                <w:sz w:val="16"/>
                <w:szCs w:val="16"/>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BC28">
            <w:pPr>
              <w:jc w:val="center"/>
              <w:rPr>
                <w:rFonts w:hint="eastAsia" w:ascii="宋体" w:hAnsi="宋体" w:eastAsia="宋体" w:cs="宋体"/>
                <w:i w:val="0"/>
                <w:iCs w:val="0"/>
                <w:color w:val="000000"/>
                <w:sz w:val="16"/>
                <w:szCs w:val="16"/>
                <w:u w:val="none"/>
              </w:rPr>
            </w:pP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B87660">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hint="default" w:ascii="宋体" w:hAnsi="宋体" w:eastAsia="宋体" w:cs="宋体"/>
                <w:i w:val="0"/>
                <w:iCs w:val="0"/>
                <w:snapToGrid w:val="0"/>
                <w:color w:val="000000"/>
                <w:kern w:val="0"/>
                <w:sz w:val="16"/>
                <w:szCs w:val="16"/>
                <w:u w:val="none"/>
                <w:lang w:val="en-US" w:eastAsia="zh-CN" w:bidi="ar"/>
              </w:rPr>
              <w:t>在二级甲等及以上医院的口腔科、通过国际质量管理体系ISO9001 认证的义齿加工企业完成为期32周的毕业实习</w:t>
            </w:r>
          </w:p>
        </w:tc>
      </w:tr>
      <w:tr w14:paraId="63F16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923D1">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881F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毛泽东思想和中国特色社会主义理论体系概论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67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D99C">
            <w:pPr>
              <w:jc w:val="cente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ADCE3">
            <w:pPr>
              <w:jc w:val="center"/>
              <w:rPr>
                <w:rFonts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马克思主义学院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EF7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E36FF">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A4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452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C1DAB">
            <w:pPr>
              <w:jc w:val="center"/>
              <w:rPr>
                <w:rFonts w:hint="eastAsia" w:ascii="宋体" w:hAnsi="宋体" w:eastAsia="宋体" w:cs="宋体"/>
                <w:i w:val="0"/>
                <w:iCs w:val="0"/>
                <w:color w:val="000000"/>
                <w:sz w:val="16"/>
                <w:szCs w:val="16"/>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150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CFE6">
            <w:pPr>
              <w:jc w:val="center"/>
              <w:rPr>
                <w:rFonts w:hint="eastAsia" w:ascii="宋体" w:hAnsi="宋体" w:eastAsia="宋体" w:cs="宋体"/>
                <w:i w:val="0"/>
                <w:iCs w:val="0"/>
                <w:color w:val="000000"/>
                <w:sz w:val="16"/>
                <w:szCs w:val="16"/>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FE3D">
            <w:pPr>
              <w:jc w:val="center"/>
              <w:rPr>
                <w:rFonts w:hint="eastAsia" w:ascii="宋体" w:hAnsi="宋体" w:eastAsia="宋体" w:cs="宋体"/>
                <w:i w:val="0"/>
                <w:iCs w:val="0"/>
                <w:color w:val="000000"/>
                <w:sz w:val="16"/>
                <w:szCs w:val="16"/>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0234C">
            <w:pPr>
              <w:jc w:val="center"/>
              <w:rPr>
                <w:rFonts w:hint="default" w:ascii="Arial" w:hAnsi="Arial" w:cs="Arial"/>
                <w:b/>
                <w:bCs/>
                <w:i w:val="0"/>
                <w:iCs w:val="0"/>
                <w:color w:val="000000"/>
                <w:sz w:val="15"/>
                <w:szCs w:val="15"/>
                <w:u w:val="none"/>
              </w:rPr>
            </w:pPr>
          </w:p>
        </w:tc>
      </w:tr>
      <w:tr w14:paraId="38B5C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181CB">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1AD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习近平新时代中国特色社会主义思想概论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BA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98A3E">
            <w:pPr>
              <w:jc w:val="cente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948D3">
            <w:pPr>
              <w:jc w:val="center"/>
              <w:rPr>
                <w:rFonts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马克思主义学院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31BA3">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414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60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A0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B0140">
            <w:pPr>
              <w:jc w:val="center"/>
              <w:rPr>
                <w:rFonts w:hint="eastAsia" w:ascii="宋体" w:hAnsi="宋体" w:eastAsia="宋体" w:cs="宋体"/>
                <w:i w:val="0"/>
                <w:iCs w:val="0"/>
                <w:color w:val="000000"/>
                <w:sz w:val="16"/>
                <w:szCs w:val="16"/>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AE243">
            <w:pPr>
              <w:jc w:val="center"/>
              <w:rPr>
                <w:rFonts w:hint="eastAsia"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97D4C">
            <w:pP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 ❖</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A86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AE4A9">
            <w:pPr>
              <w:jc w:val="center"/>
              <w:rPr>
                <w:rFonts w:hint="default" w:ascii="Arial" w:hAnsi="Arial" w:cs="Arial"/>
                <w:b/>
                <w:bCs/>
                <w:i w:val="0"/>
                <w:iCs w:val="0"/>
                <w:color w:val="000000"/>
                <w:sz w:val="15"/>
                <w:szCs w:val="15"/>
                <w:u w:val="none"/>
              </w:rPr>
            </w:pPr>
          </w:p>
        </w:tc>
      </w:tr>
      <w:tr w14:paraId="7AC1E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AC231">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230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形势与政策</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DB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9094">
            <w:pPr>
              <w:jc w:val="cente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8D95">
            <w:pPr>
              <w:jc w:val="center"/>
              <w:rPr>
                <w:rFonts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马克思主义学院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CB2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0C4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C5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770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27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695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942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F0D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/2×7</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09D7E">
            <w:pPr>
              <w:jc w:val="center"/>
              <w:rPr>
                <w:rFonts w:hint="default" w:ascii="Arial" w:hAnsi="Arial" w:cs="Arial"/>
                <w:b/>
                <w:bCs/>
                <w:i w:val="0"/>
                <w:iCs w:val="0"/>
                <w:color w:val="000000"/>
                <w:sz w:val="15"/>
                <w:szCs w:val="15"/>
                <w:u w:val="none"/>
              </w:rPr>
            </w:pPr>
          </w:p>
        </w:tc>
      </w:tr>
      <w:tr w14:paraId="34393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B17C0">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04D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国家安全教育</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E980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A6875">
            <w:pPr>
              <w:jc w:val="cente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0BD52">
            <w:pPr>
              <w:jc w:val="center"/>
              <w:rPr>
                <w:rFonts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马克思主义学院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7BE35">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B63CF">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8B3A">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D399">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5CD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F4415">
            <w:pPr>
              <w:rPr>
                <w:rFonts w:hint="eastAsia" w:ascii="宋体" w:hAnsi="宋体" w:eastAsia="宋体" w:cs="宋体"/>
                <w:i w:val="0"/>
                <w:iCs w:val="0"/>
                <w:snapToGrid w:val="0"/>
                <w:color w:val="000000"/>
                <w:kern w:val="0"/>
                <w:sz w:val="16"/>
                <w:szCs w:val="16"/>
                <w:u w:val="none"/>
                <w:lang w:val="en-US" w:eastAsia="zh-CN" w:bidi="ar"/>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79BC1">
            <w:pPr>
              <w:jc w:val="center"/>
              <w:rPr>
                <w:rFonts w:hint="eastAsia" w:ascii="宋体" w:hAnsi="宋体" w:eastAsia="宋体" w:cs="宋体"/>
                <w:i w:val="0"/>
                <w:iCs w:val="0"/>
                <w:snapToGrid w:val="0"/>
                <w:color w:val="000000"/>
                <w:kern w:val="0"/>
                <w:sz w:val="16"/>
                <w:szCs w:val="16"/>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9FB9">
            <w:pPr>
              <w:jc w:val="center"/>
              <w:rPr>
                <w:rFonts w:hint="eastAsia" w:ascii="宋体" w:hAnsi="宋体" w:eastAsia="宋体" w:cs="宋体"/>
                <w:i w:val="0"/>
                <w:iCs w:val="0"/>
                <w:snapToGrid w:val="0"/>
                <w:color w:val="000000"/>
                <w:kern w:val="0"/>
                <w:sz w:val="16"/>
                <w:szCs w:val="16"/>
                <w:u w:val="none"/>
                <w:lang w:val="en-US" w:eastAsia="zh-CN" w:bidi="ar"/>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EE7E2">
            <w:pPr>
              <w:jc w:val="center"/>
              <w:rPr>
                <w:rFonts w:hint="default" w:ascii="Arial" w:hAnsi="Arial" w:cs="Arial"/>
                <w:b/>
                <w:bCs/>
                <w:i w:val="0"/>
                <w:iCs w:val="0"/>
                <w:color w:val="000000"/>
                <w:sz w:val="15"/>
                <w:szCs w:val="15"/>
                <w:u w:val="none"/>
              </w:rPr>
            </w:pPr>
          </w:p>
        </w:tc>
      </w:tr>
      <w:tr w14:paraId="66182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38D4A">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EC6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中华民族共同体概论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EABF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9FFED">
            <w:pPr>
              <w:jc w:val="cente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D7F3">
            <w:pPr>
              <w:jc w:val="center"/>
              <w:rPr>
                <w:rFonts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马克思主义学院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3355">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11885">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34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72CD">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7A2B">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E53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BE894E">
            <w:pPr>
              <w:jc w:val="center"/>
              <w:rPr>
                <w:rFonts w:hint="default" w:ascii="宋体" w:hAnsi="宋体" w:eastAsia="宋体" w:cs="宋体"/>
                <w:i w:val="0"/>
                <w:iCs w:val="0"/>
                <w:snapToGrid w:val="0"/>
                <w:color w:val="000000"/>
                <w:kern w:val="0"/>
                <w:sz w:val="16"/>
                <w:szCs w:val="16"/>
                <w:u w:val="none"/>
                <w:lang w:val="en-US" w:eastAsia="zh-CN" w:bidi="ar"/>
              </w:rPr>
            </w:pPr>
          </w:p>
        </w:tc>
        <w:tc>
          <w:tcPr>
            <w:tcW w:w="72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915D64">
            <w:pPr>
              <w:jc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47BA">
            <w:pPr>
              <w:jc w:val="center"/>
              <w:rPr>
                <w:rFonts w:hint="eastAsia" w:ascii="宋体" w:hAnsi="宋体" w:eastAsia="宋体" w:cs="宋体"/>
                <w:i w:val="0"/>
                <w:iCs w:val="0"/>
                <w:snapToGrid w:val="0"/>
                <w:color w:val="000000"/>
                <w:kern w:val="0"/>
                <w:sz w:val="16"/>
                <w:szCs w:val="16"/>
                <w:u w:val="none"/>
                <w:lang w:val="en-US" w:eastAsia="zh-CN" w:bidi="ar"/>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ECDB6">
            <w:pPr>
              <w:jc w:val="center"/>
              <w:rPr>
                <w:rFonts w:hint="default" w:ascii="Arial" w:hAnsi="Arial" w:cs="Arial"/>
                <w:b/>
                <w:bCs/>
                <w:i w:val="0"/>
                <w:iCs w:val="0"/>
                <w:color w:val="000000"/>
                <w:sz w:val="15"/>
                <w:szCs w:val="15"/>
                <w:u w:val="none"/>
              </w:rPr>
            </w:pPr>
          </w:p>
        </w:tc>
      </w:tr>
      <w:tr w14:paraId="7C44C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B4EFB1">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0C2D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大学语文</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E4E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D143">
            <w:pPr>
              <w:jc w:val="center"/>
              <w:rPr>
                <w:rFonts w:ascii="宋体" w:hAnsi="宋体" w:eastAsia="宋体" w:cs="宋体"/>
                <w:i w:val="0"/>
                <w:iCs w:val="0"/>
                <w:snapToGrid w:val="0"/>
                <w:color w:val="000000"/>
                <w:kern w:val="0"/>
                <w:sz w:val="16"/>
                <w:szCs w:val="16"/>
                <w:u w:val="none"/>
                <w:lang w:val="en-US" w:eastAsia="en-US" w:bidi="ar-SA"/>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44FFE">
            <w:pPr>
              <w:jc w:val="center"/>
              <w:rPr>
                <w:rFonts w:hint="default"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color w:val="000000"/>
                <w:sz w:val="16"/>
                <w:szCs w:val="16"/>
                <w:u w:val="none"/>
                <w:lang w:val="en-US" w:eastAsia="zh-CN"/>
              </w:rPr>
              <w:t>公共教学部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78B0">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DF7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DCF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F99C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295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8A074">
            <w:pPr>
              <w:rPr>
                <w:rFonts w:hint="eastAsia" w:ascii="宋体" w:hAnsi="宋体" w:eastAsia="宋体" w:cs="宋体"/>
                <w:i w:val="0"/>
                <w:iCs w:val="0"/>
                <w:snapToGrid w:val="0"/>
                <w:color w:val="000000"/>
                <w:kern w:val="0"/>
                <w:sz w:val="16"/>
                <w:szCs w:val="16"/>
                <w:u w:val="none"/>
                <w:lang w:val="en-US" w:eastAsia="zh-CN" w:bidi="ar"/>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DD30">
            <w:pPr>
              <w:jc w:val="center"/>
              <w:rPr>
                <w:rFonts w:hint="eastAsia" w:ascii="宋体" w:hAnsi="宋体" w:eastAsia="宋体" w:cs="宋体"/>
                <w:i w:val="0"/>
                <w:iCs w:val="0"/>
                <w:snapToGrid w:val="0"/>
                <w:color w:val="000000"/>
                <w:kern w:val="0"/>
                <w:sz w:val="16"/>
                <w:szCs w:val="16"/>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944E6">
            <w:pPr>
              <w:jc w:val="center"/>
              <w:rPr>
                <w:rFonts w:hint="eastAsia" w:ascii="宋体" w:hAnsi="宋体" w:eastAsia="宋体" w:cs="宋体"/>
                <w:i w:val="0"/>
                <w:iCs w:val="0"/>
                <w:snapToGrid w:val="0"/>
                <w:color w:val="000000"/>
                <w:kern w:val="0"/>
                <w:sz w:val="16"/>
                <w:szCs w:val="16"/>
                <w:u w:val="none"/>
                <w:lang w:val="en-US" w:eastAsia="zh-CN" w:bidi="ar"/>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50ECB">
            <w:pPr>
              <w:jc w:val="center"/>
              <w:rPr>
                <w:rFonts w:hint="default" w:ascii="Arial" w:hAnsi="Arial" w:cs="Arial"/>
                <w:b/>
                <w:bCs/>
                <w:i w:val="0"/>
                <w:iCs w:val="0"/>
                <w:color w:val="000000"/>
                <w:sz w:val="15"/>
                <w:szCs w:val="15"/>
                <w:u w:val="none"/>
              </w:rPr>
            </w:pPr>
          </w:p>
        </w:tc>
      </w:tr>
      <w:tr w14:paraId="311A4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70429">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993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体育与健康</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B1C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E9F9">
            <w:pPr>
              <w:jc w:val="center"/>
              <w:rPr>
                <w:rFonts w:ascii="宋体" w:hAnsi="宋体" w:eastAsia="宋体" w:cs="宋体"/>
                <w:i w:val="0"/>
                <w:iCs w:val="0"/>
                <w:snapToGrid w:val="0"/>
                <w:color w:val="000000"/>
                <w:kern w:val="0"/>
                <w:sz w:val="16"/>
                <w:szCs w:val="16"/>
                <w:u w:val="none"/>
                <w:lang w:val="en-US" w:eastAsia="en-US" w:bidi="ar-SA"/>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7505A">
            <w:pPr>
              <w:jc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color w:val="000000"/>
                <w:sz w:val="16"/>
                <w:szCs w:val="16"/>
                <w:u w:val="none"/>
                <w:lang w:val="en-US" w:eastAsia="zh-CN"/>
              </w:rPr>
              <w:t>体育教学部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46B4F">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F527A">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72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BBA0">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31D3">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64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117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6CFE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0BE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5F2B3">
            <w:pPr>
              <w:jc w:val="center"/>
              <w:rPr>
                <w:rFonts w:hint="eastAsia" w:ascii="宋体" w:hAnsi="宋体" w:eastAsia="宋体" w:cs="宋体"/>
                <w:i w:val="0"/>
                <w:iCs w:val="0"/>
                <w:snapToGrid w:val="0"/>
                <w:color w:val="000000"/>
                <w:kern w:val="0"/>
                <w:sz w:val="16"/>
                <w:szCs w:val="16"/>
                <w:u w:val="none"/>
                <w:lang w:val="en-US" w:eastAsia="zh-CN" w:bidi="ar"/>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E435B">
            <w:pPr>
              <w:jc w:val="center"/>
              <w:rPr>
                <w:rFonts w:hint="default" w:ascii="Arial" w:hAnsi="Arial" w:cs="Arial"/>
                <w:b/>
                <w:bCs/>
                <w:i w:val="0"/>
                <w:iCs w:val="0"/>
                <w:color w:val="000000"/>
                <w:sz w:val="15"/>
                <w:szCs w:val="15"/>
                <w:u w:val="none"/>
              </w:rPr>
            </w:pPr>
          </w:p>
        </w:tc>
      </w:tr>
      <w:tr w14:paraId="39C8D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5C883">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6C4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《体育与健康》</w:t>
            </w:r>
          </w:p>
          <w:p w14:paraId="558BFA3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（模块化教学）</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DED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36D7">
            <w:pPr>
              <w:jc w:val="center"/>
              <w:rPr>
                <w:rFonts w:ascii="宋体" w:hAnsi="宋体" w:eastAsia="宋体" w:cs="宋体"/>
                <w:i w:val="0"/>
                <w:iCs w:val="0"/>
                <w:snapToGrid w:val="0"/>
                <w:color w:val="000000"/>
                <w:kern w:val="0"/>
                <w:sz w:val="16"/>
                <w:szCs w:val="16"/>
                <w:u w:val="none"/>
                <w:lang w:val="en-US" w:eastAsia="en-US" w:bidi="ar-SA"/>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CBC85">
            <w:pPr>
              <w:jc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color w:val="000000"/>
                <w:sz w:val="16"/>
                <w:szCs w:val="16"/>
                <w:u w:val="none"/>
                <w:lang w:val="en-US" w:eastAsia="zh-CN"/>
              </w:rPr>
              <w:t>体育教学部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BDBDB">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66F8">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36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2C5D">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9A2CD">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32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F79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2433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850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DDC6">
            <w:pPr>
              <w:jc w:val="center"/>
              <w:rPr>
                <w:rFonts w:hint="eastAsia" w:ascii="宋体" w:hAnsi="宋体" w:eastAsia="宋体" w:cs="宋体"/>
                <w:i w:val="0"/>
                <w:iCs w:val="0"/>
                <w:snapToGrid w:val="0"/>
                <w:color w:val="000000"/>
                <w:kern w:val="0"/>
                <w:sz w:val="16"/>
                <w:szCs w:val="16"/>
                <w:u w:val="none"/>
                <w:lang w:val="en-US" w:eastAsia="zh-CN" w:bidi="ar"/>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B5D30">
            <w:pPr>
              <w:jc w:val="center"/>
              <w:rPr>
                <w:rFonts w:hint="default" w:ascii="Arial" w:hAnsi="Arial" w:cs="Arial"/>
                <w:b/>
                <w:bCs/>
                <w:i w:val="0"/>
                <w:iCs w:val="0"/>
                <w:color w:val="000000"/>
                <w:sz w:val="15"/>
                <w:szCs w:val="15"/>
                <w:u w:val="none"/>
              </w:rPr>
            </w:pPr>
          </w:p>
        </w:tc>
      </w:tr>
      <w:tr w14:paraId="3F186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258F6">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4ED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基础英语</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7304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94C9">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3337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color w:val="000000"/>
                <w:sz w:val="16"/>
                <w:szCs w:val="16"/>
                <w:u w:val="none"/>
                <w:lang w:val="en-US" w:eastAsia="zh-CN"/>
              </w:rPr>
              <w:t>公共教学部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AF4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8A4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64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CB9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64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760D">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E3D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93F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0E895">
            <w:pPr>
              <w:jc w:val="center"/>
              <w:rPr>
                <w:rFonts w:hint="eastAsia" w:ascii="宋体" w:hAnsi="宋体" w:eastAsia="宋体" w:cs="宋体"/>
                <w:i w:val="0"/>
                <w:iCs w:val="0"/>
                <w:snapToGrid w:val="0"/>
                <w:color w:val="000000"/>
                <w:kern w:val="0"/>
                <w:sz w:val="16"/>
                <w:szCs w:val="16"/>
                <w:u w:val="none"/>
                <w:lang w:val="en-US" w:eastAsia="zh-CN" w:bidi="ar"/>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E38F4">
            <w:pPr>
              <w:jc w:val="center"/>
              <w:rPr>
                <w:rFonts w:hint="eastAsia" w:ascii="宋体" w:hAnsi="宋体" w:eastAsia="宋体" w:cs="宋体"/>
                <w:i w:val="0"/>
                <w:iCs w:val="0"/>
                <w:snapToGrid w:val="0"/>
                <w:color w:val="000000"/>
                <w:kern w:val="0"/>
                <w:sz w:val="16"/>
                <w:szCs w:val="16"/>
                <w:u w:val="none"/>
                <w:lang w:val="en-US" w:eastAsia="zh-CN" w:bidi="ar"/>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60902">
            <w:pPr>
              <w:jc w:val="center"/>
              <w:rPr>
                <w:rFonts w:hint="default" w:ascii="Arial" w:hAnsi="Arial" w:cs="Arial"/>
                <w:b/>
                <w:bCs/>
                <w:i w:val="0"/>
                <w:iCs w:val="0"/>
                <w:color w:val="000000"/>
                <w:sz w:val="15"/>
                <w:szCs w:val="15"/>
                <w:u w:val="none"/>
              </w:rPr>
            </w:pPr>
          </w:p>
        </w:tc>
      </w:tr>
      <w:tr w14:paraId="019F0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AB36A">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90C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医学英语</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0250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2219">
            <w:pPr>
              <w:jc w:val="center"/>
              <w:rPr>
                <w:rFonts w:ascii="宋体" w:hAnsi="宋体" w:eastAsia="宋体" w:cs="宋体"/>
                <w:i w:val="0"/>
                <w:iCs w:val="0"/>
                <w:snapToGrid w:val="0"/>
                <w:color w:val="000000"/>
                <w:kern w:val="0"/>
                <w:sz w:val="16"/>
                <w:szCs w:val="16"/>
                <w:u w:val="none"/>
                <w:lang w:val="en-US" w:eastAsia="en-US" w:bidi="ar-SA"/>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1704">
            <w:pPr>
              <w:jc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color w:val="000000"/>
                <w:sz w:val="16"/>
                <w:szCs w:val="16"/>
                <w:u w:val="none"/>
                <w:lang w:val="en-US" w:eastAsia="zh-CN"/>
              </w:rPr>
              <w:t>公共教学部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090F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E9E5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ABA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42D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40C0">
            <w:pPr>
              <w:jc w:val="center"/>
              <w:rPr>
                <w:rFonts w:hint="eastAsia" w:ascii="宋体" w:hAnsi="宋体" w:eastAsia="宋体" w:cs="宋体"/>
                <w:i w:val="0"/>
                <w:iCs w:val="0"/>
                <w:snapToGrid w:val="0"/>
                <w:color w:val="000000"/>
                <w:kern w:val="0"/>
                <w:sz w:val="16"/>
                <w:szCs w:val="16"/>
                <w:u w:val="none"/>
                <w:lang w:val="en-US" w:eastAsia="zh-CN" w:bidi="ar-SA"/>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8F683">
            <w:pPr>
              <w:jc w:val="center"/>
              <w:rPr>
                <w:rFonts w:hint="eastAsia" w:ascii="宋体" w:hAnsi="宋体" w:eastAsia="宋体" w:cs="宋体"/>
                <w:i w:val="0"/>
                <w:iCs w:val="0"/>
                <w:snapToGrid w:val="0"/>
                <w:color w:val="000000"/>
                <w:kern w:val="0"/>
                <w:sz w:val="16"/>
                <w:szCs w:val="16"/>
                <w:u w:val="none"/>
                <w:lang w:val="en-US" w:eastAsia="zh-CN" w:bidi="ar-SA"/>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B1F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2CD1">
            <w:pPr>
              <w:jc w:val="center"/>
              <w:rPr>
                <w:rFonts w:hint="eastAsia" w:ascii="宋体" w:hAnsi="宋体" w:eastAsia="宋体" w:cs="宋体"/>
                <w:i w:val="0"/>
                <w:iCs w:val="0"/>
                <w:snapToGrid w:val="0"/>
                <w:color w:val="000000"/>
                <w:kern w:val="0"/>
                <w:sz w:val="16"/>
                <w:szCs w:val="16"/>
                <w:u w:val="none"/>
                <w:lang w:val="en-US" w:eastAsia="zh-CN" w:bidi="ar-SA"/>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3E7EA">
            <w:pPr>
              <w:jc w:val="center"/>
              <w:rPr>
                <w:rFonts w:hint="default" w:ascii="Arial" w:hAnsi="Arial" w:cs="Arial"/>
                <w:b/>
                <w:bCs/>
                <w:i w:val="0"/>
                <w:iCs w:val="0"/>
                <w:color w:val="000000"/>
                <w:sz w:val="15"/>
                <w:szCs w:val="15"/>
                <w:u w:val="none"/>
              </w:rPr>
            </w:pPr>
          </w:p>
        </w:tc>
      </w:tr>
      <w:tr w14:paraId="25126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A77F2">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3BD3">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信息技术</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A9CB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EBB4">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A3B7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color w:val="000000"/>
                <w:sz w:val="16"/>
                <w:szCs w:val="16"/>
                <w:u w:val="none"/>
                <w:lang w:val="en-US" w:eastAsia="zh-CN"/>
              </w:rPr>
              <w:t>公共教学部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076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3</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1EAC3">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48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7577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12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DF9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36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D81C">
            <w:pPr>
              <w:jc w:val="center"/>
              <w:rPr>
                <w:rFonts w:hint="eastAsia" w:ascii="宋体" w:hAnsi="宋体" w:eastAsia="宋体" w:cs="宋体"/>
                <w:i w:val="0"/>
                <w:iCs w:val="0"/>
                <w:snapToGrid w:val="0"/>
                <w:color w:val="000000"/>
                <w:kern w:val="0"/>
                <w:sz w:val="16"/>
                <w:szCs w:val="16"/>
                <w:u w:val="none"/>
                <w:lang w:val="en-US" w:eastAsia="en-US" w:bidi="ar-SA"/>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179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4F142">
            <w:pPr>
              <w:jc w:val="center"/>
              <w:rPr>
                <w:rFonts w:hint="eastAsia" w:ascii="宋体" w:hAnsi="宋体" w:eastAsia="宋体" w:cs="宋体"/>
                <w:i w:val="0"/>
                <w:iCs w:val="0"/>
                <w:snapToGrid w:val="0"/>
                <w:color w:val="000000"/>
                <w:kern w:val="0"/>
                <w:sz w:val="16"/>
                <w:szCs w:val="16"/>
                <w:u w:val="none"/>
                <w:lang w:val="en-US" w:eastAsia="en-US" w:bidi="ar-SA"/>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09F9">
            <w:pPr>
              <w:jc w:val="center"/>
              <w:rPr>
                <w:rFonts w:hint="eastAsia" w:ascii="宋体" w:hAnsi="宋体" w:eastAsia="宋体" w:cs="宋体"/>
                <w:i w:val="0"/>
                <w:iCs w:val="0"/>
                <w:snapToGrid w:val="0"/>
                <w:color w:val="000000"/>
                <w:kern w:val="0"/>
                <w:sz w:val="16"/>
                <w:szCs w:val="16"/>
                <w:u w:val="none"/>
                <w:lang w:val="en-US" w:eastAsia="en-US" w:bidi="ar-SA"/>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C3692">
            <w:pPr>
              <w:jc w:val="center"/>
              <w:rPr>
                <w:rFonts w:hint="default" w:ascii="Arial" w:hAnsi="Arial" w:cs="Arial"/>
                <w:b/>
                <w:bCs/>
                <w:i w:val="0"/>
                <w:iCs w:val="0"/>
                <w:color w:val="000000"/>
                <w:sz w:val="15"/>
                <w:szCs w:val="15"/>
                <w:u w:val="none"/>
              </w:rPr>
            </w:pPr>
          </w:p>
        </w:tc>
      </w:tr>
      <w:tr w14:paraId="26FFB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11E4C">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F7806">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大学生心理健康教育</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80274">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5560">
            <w:pPr>
              <w:jc w:val="center"/>
              <w:rPr>
                <w:rFonts w:ascii="宋体" w:hAnsi="宋体" w:eastAsia="宋体" w:cs="宋体"/>
                <w:i w:val="0"/>
                <w:iCs w:val="0"/>
                <w:snapToGrid w:val="0"/>
                <w:color w:val="000000"/>
                <w:kern w:val="0"/>
                <w:sz w:val="16"/>
                <w:szCs w:val="16"/>
                <w:u w:val="none"/>
                <w:lang w:val="en-US" w:eastAsia="en-US" w:bidi="ar-SA"/>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8921">
            <w:pPr>
              <w:jc w:val="center"/>
              <w:rPr>
                <w:rFonts w:hint="default"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color w:val="000000"/>
                <w:sz w:val="16"/>
                <w:szCs w:val="16"/>
                <w:u w:val="none"/>
                <w:lang w:val="en-US" w:eastAsia="zh-CN"/>
              </w:rPr>
              <w:t>马克思主义学院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43D3">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
              </w:rPr>
            </w:pPr>
            <w:r>
              <w:rPr>
                <w:rFonts w:hint="eastAsia" w:ascii="宋体" w:hAnsi="宋体" w:eastAsia="宋体" w:cs="宋体"/>
                <w:i w:val="0"/>
                <w:iCs w:val="0"/>
                <w:snapToGrid w:val="0"/>
                <w:color w:val="000000"/>
                <w:kern w:val="0"/>
                <w:sz w:val="16"/>
                <w:szCs w:val="16"/>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2242">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09E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CC2E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38D0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/2×7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5E283">
            <w:pPr>
              <w:jc w:val="center"/>
              <w:rPr>
                <w:rFonts w:hint="eastAsia" w:ascii="宋体" w:hAnsi="宋体" w:eastAsia="宋体" w:cs="宋体"/>
                <w:i w:val="0"/>
                <w:iCs w:val="0"/>
                <w:snapToGrid w:val="0"/>
                <w:color w:val="000000"/>
                <w:kern w:val="0"/>
                <w:sz w:val="16"/>
                <w:szCs w:val="16"/>
                <w:u w:val="none"/>
                <w:lang w:val="en-US" w:eastAsia="en-US" w:bidi="ar-SA"/>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3C438">
            <w:pPr>
              <w:jc w:val="center"/>
              <w:rPr>
                <w:rFonts w:hint="eastAsia" w:ascii="宋体" w:hAnsi="宋体" w:eastAsia="宋体" w:cs="宋体"/>
                <w:i w:val="0"/>
                <w:iCs w:val="0"/>
                <w:snapToGrid w:val="0"/>
                <w:color w:val="000000"/>
                <w:kern w:val="0"/>
                <w:sz w:val="16"/>
                <w:szCs w:val="16"/>
                <w:u w:val="none"/>
                <w:lang w:val="en-US" w:eastAsia="en-US" w:bidi="ar-SA"/>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01212">
            <w:pPr>
              <w:jc w:val="center"/>
              <w:rPr>
                <w:rFonts w:hint="eastAsia" w:ascii="宋体" w:hAnsi="宋体" w:eastAsia="宋体" w:cs="宋体"/>
                <w:i w:val="0"/>
                <w:iCs w:val="0"/>
                <w:snapToGrid w:val="0"/>
                <w:color w:val="000000"/>
                <w:kern w:val="0"/>
                <w:sz w:val="16"/>
                <w:szCs w:val="16"/>
                <w:u w:val="none"/>
                <w:lang w:val="en-US" w:eastAsia="en-US" w:bidi="ar-SA"/>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3E5AD">
            <w:pPr>
              <w:jc w:val="center"/>
              <w:rPr>
                <w:rFonts w:hint="default" w:ascii="Arial" w:hAnsi="Arial" w:cs="Arial"/>
                <w:b/>
                <w:bCs/>
                <w:i w:val="0"/>
                <w:iCs w:val="0"/>
                <w:color w:val="000000"/>
                <w:sz w:val="15"/>
                <w:szCs w:val="15"/>
                <w:u w:val="none"/>
              </w:rPr>
            </w:pPr>
          </w:p>
        </w:tc>
      </w:tr>
      <w:tr w14:paraId="3E8BD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9CEEC">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7177">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军事教育与技能训练</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8BF5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1695">
            <w:pPr>
              <w:jc w:val="center"/>
              <w:rPr>
                <w:rFonts w:ascii="宋体" w:hAnsi="宋体" w:eastAsia="宋体" w:cs="宋体"/>
                <w:i w:val="0"/>
                <w:iCs w:val="0"/>
                <w:snapToGrid w:val="0"/>
                <w:color w:val="000000"/>
                <w:kern w:val="0"/>
                <w:sz w:val="16"/>
                <w:szCs w:val="16"/>
                <w:u w:val="none"/>
                <w:lang w:val="en-US" w:eastAsia="en-US" w:bidi="ar-SA"/>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E4F66">
            <w:pPr>
              <w:jc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color w:val="000000"/>
                <w:sz w:val="16"/>
                <w:szCs w:val="16"/>
                <w:u w:val="none"/>
                <w:lang w:val="en-US" w:eastAsia="zh-CN"/>
              </w:rPr>
              <w:t>五育教研室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0C49">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9</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B242">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148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B780">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36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DA7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112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BF9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611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6ECE3">
            <w:pPr>
              <w:jc w:val="center"/>
              <w:rPr>
                <w:rFonts w:hint="eastAsia" w:ascii="宋体" w:hAnsi="宋体" w:eastAsia="宋体" w:cs="宋体"/>
                <w:i w:val="0"/>
                <w:iCs w:val="0"/>
                <w:snapToGrid w:val="0"/>
                <w:color w:val="000000"/>
                <w:kern w:val="0"/>
                <w:sz w:val="16"/>
                <w:szCs w:val="16"/>
                <w:u w:val="none"/>
                <w:lang w:val="en-US" w:eastAsia="en-US" w:bidi="ar-SA"/>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454B">
            <w:pPr>
              <w:jc w:val="center"/>
              <w:rPr>
                <w:rFonts w:hint="eastAsia" w:ascii="宋体" w:hAnsi="宋体" w:eastAsia="宋体" w:cs="宋体"/>
                <w:i w:val="0"/>
                <w:iCs w:val="0"/>
                <w:snapToGrid w:val="0"/>
                <w:color w:val="000000"/>
                <w:kern w:val="0"/>
                <w:sz w:val="16"/>
                <w:szCs w:val="16"/>
                <w:u w:val="none"/>
                <w:lang w:val="en-US" w:eastAsia="en-US" w:bidi="ar-SA"/>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36BA9">
            <w:pPr>
              <w:jc w:val="center"/>
              <w:rPr>
                <w:rFonts w:hint="default" w:ascii="Arial" w:hAnsi="Arial" w:cs="Arial"/>
                <w:b/>
                <w:bCs/>
                <w:i w:val="0"/>
                <w:iCs w:val="0"/>
                <w:color w:val="000000"/>
                <w:sz w:val="15"/>
                <w:szCs w:val="15"/>
                <w:u w:val="none"/>
              </w:rPr>
            </w:pPr>
          </w:p>
        </w:tc>
      </w:tr>
      <w:tr w14:paraId="7E987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20AF3">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5FB76">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劳动教育</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845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2BA1">
            <w:pPr>
              <w:jc w:val="center"/>
              <w:rPr>
                <w:rFonts w:ascii="宋体" w:hAnsi="宋体" w:eastAsia="宋体" w:cs="宋体"/>
                <w:i w:val="0"/>
                <w:iCs w:val="0"/>
                <w:snapToGrid w:val="0"/>
                <w:color w:val="000000"/>
                <w:kern w:val="0"/>
                <w:sz w:val="16"/>
                <w:szCs w:val="16"/>
                <w:u w:val="none"/>
                <w:lang w:val="en-US" w:eastAsia="en-US" w:bidi="ar-SA"/>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C7C4">
            <w:pPr>
              <w:jc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color w:val="000000"/>
                <w:sz w:val="16"/>
                <w:szCs w:val="16"/>
                <w:u w:val="none"/>
                <w:lang w:val="en-US" w:eastAsia="zh-CN"/>
              </w:rPr>
              <w:t>五育教研室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256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
              </w:rPr>
            </w:pPr>
            <w:r>
              <w:rPr>
                <w:rFonts w:hint="eastAsia" w:ascii="宋体" w:hAnsi="宋体" w:eastAsia="宋体" w:cs="宋体"/>
                <w:i w:val="0"/>
                <w:iCs w:val="0"/>
                <w:snapToGrid w:val="0"/>
                <w:color w:val="000000"/>
                <w:kern w:val="0"/>
                <w:sz w:val="16"/>
                <w:szCs w:val="16"/>
                <w:u w:val="none"/>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8AB27">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64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496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174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50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93ECA">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/2×7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E76A8">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633E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3BB1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E91D4">
            <w:pPr>
              <w:jc w:val="center"/>
              <w:rPr>
                <w:rFonts w:hint="default" w:ascii="Arial" w:hAnsi="Arial" w:cs="Arial"/>
                <w:b/>
                <w:bCs/>
                <w:i w:val="0"/>
                <w:iCs w:val="0"/>
                <w:color w:val="000000"/>
                <w:sz w:val="15"/>
                <w:szCs w:val="15"/>
                <w:u w:val="none"/>
              </w:rPr>
            </w:pPr>
          </w:p>
        </w:tc>
      </w:tr>
      <w:tr w14:paraId="49F77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B4916">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72A80">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学生体质健康监测</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8DF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0D47">
            <w:pPr>
              <w:jc w:val="center"/>
              <w:rPr>
                <w:rFonts w:ascii="宋体" w:hAnsi="宋体" w:eastAsia="宋体" w:cs="宋体"/>
                <w:i w:val="0"/>
                <w:iCs w:val="0"/>
                <w:snapToGrid w:val="0"/>
                <w:color w:val="000000"/>
                <w:kern w:val="0"/>
                <w:sz w:val="16"/>
                <w:szCs w:val="16"/>
                <w:u w:val="none"/>
                <w:lang w:val="en-US" w:eastAsia="en-US" w:bidi="ar-SA"/>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A0E1E">
            <w:pPr>
              <w:jc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color w:val="000000"/>
                <w:sz w:val="16"/>
                <w:szCs w:val="16"/>
                <w:u w:val="none"/>
                <w:lang w:val="en-US" w:eastAsia="zh-CN"/>
              </w:rPr>
              <w:t>体育教学部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2C8E">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0A6D">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12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5D92F">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07C1">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12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AB4C">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ADFB">
            <w:pPr>
              <w:jc w:val="center"/>
              <w:rPr>
                <w:rFonts w:hint="eastAsia" w:ascii="宋体" w:hAnsi="宋体" w:eastAsia="宋体" w:cs="宋体"/>
                <w:i w:val="0"/>
                <w:iCs w:val="0"/>
                <w:snapToGrid w:val="0"/>
                <w:color w:val="000000"/>
                <w:kern w:val="0"/>
                <w:sz w:val="16"/>
                <w:szCs w:val="16"/>
                <w:u w:val="none"/>
                <w:lang w:val="en-US" w:eastAsia="en-US" w:bidi="ar-SA"/>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F2C7">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161B">
            <w:pPr>
              <w:jc w:val="center"/>
              <w:rPr>
                <w:rFonts w:hint="eastAsia" w:ascii="宋体" w:hAnsi="宋体" w:eastAsia="宋体" w:cs="宋体"/>
                <w:i w:val="0"/>
                <w:iCs w:val="0"/>
                <w:snapToGrid w:val="0"/>
                <w:color w:val="000000"/>
                <w:kern w:val="0"/>
                <w:sz w:val="16"/>
                <w:szCs w:val="16"/>
                <w:u w:val="none"/>
                <w:lang w:val="en-US" w:eastAsia="en-US" w:bidi="ar-SA"/>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D3AA6">
            <w:pPr>
              <w:jc w:val="center"/>
              <w:rPr>
                <w:rFonts w:hint="default" w:ascii="Arial" w:hAnsi="Arial" w:cs="Arial"/>
                <w:b/>
                <w:bCs/>
                <w:i w:val="0"/>
                <w:iCs w:val="0"/>
                <w:color w:val="000000"/>
                <w:sz w:val="15"/>
                <w:szCs w:val="15"/>
                <w:u w:val="none"/>
              </w:rPr>
            </w:pPr>
          </w:p>
        </w:tc>
      </w:tr>
      <w:tr w14:paraId="7C9BF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F89D2">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5F6CE">
            <w:pPr>
              <w:keepNext w:val="0"/>
              <w:keepLines w:val="0"/>
              <w:widowControl/>
              <w:suppressLineNumbers w:val="0"/>
              <w:jc w:val="center"/>
              <w:textAlignment w:val="center"/>
              <w:rPr>
                <w:rFonts w:hint="default" w:ascii="宋体" w:hAnsi="宋体" w:eastAsia="宋体" w:cs="宋体"/>
                <w:i w:val="0"/>
                <w:iCs w:val="0"/>
                <w:snapToGrid w:val="0"/>
                <w:color w:val="000000"/>
                <w:kern w:val="0"/>
                <w:sz w:val="16"/>
                <w:szCs w:val="16"/>
                <w:u w:val="none"/>
                <w:lang w:val="en-US" w:eastAsia="zh-CN" w:bidi="ar-SA"/>
              </w:rPr>
            </w:pPr>
            <w:r>
              <w:rPr>
                <w:rFonts w:hint="eastAsia" w:ascii="宋体" w:hAnsi="宋体" w:eastAsia="宋体" w:cs="宋体"/>
                <w:i w:val="0"/>
                <w:iCs w:val="0"/>
                <w:snapToGrid w:val="0"/>
                <w:color w:val="000000"/>
                <w:kern w:val="0"/>
                <w:sz w:val="16"/>
                <w:szCs w:val="16"/>
                <w:u w:val="none"/>
                <w:lang w:val="en-US" w:eastAsia="zh-CN" w:bidi="ar-SA"/>
              </w:rPr>
              <w:t>学生心理体验课堂</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A8BF">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F85D">
            <w:pPr>
              <w:jc w:val="center"/>
              <w:rPr>
                <w:rFonts w:ascii="宋体" w:hAnsi="宋体" w:eastAsia="宋体" w:cs="宋体"/>
                <w:i w:val="0"/>
                <w:iCs w:val="0"/>
                <w:snapToGrid w:val="0"/>
                <w:color w:val="000000"/>
                <w:kern w:val="0"/>
                <w:sz w:val="16"/>
                <w:szCs w:val="16"/>
                <w:u w:val="none"/>
                <w:lang w:val="en-US" w:eastAsia="en-US" w:bidi="ar-SA"/>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D895">
            <w:pPr>
              <w:jc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color w:val="000000"/>
                <w:sz w:val="16"/>
                <w:szCs w:val="16"/>
                <w:u w:val="none"/>
                <w:lang w:val="en-US" w:eastAsia="zh-CN"/>
              </w:rPr>
              <w:t>马克思主义学院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6FA9">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D5E65">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18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8D1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F368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18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AC1E">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A5C6">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AE5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4C42">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i w:val="0"/>
                <w:iCs w:val="0"/>
                <w:snapToGrid w:val="0"/>
                <w:color w:val="000000"/>
                <w:kern w:val="0"/>
                <w:sz w:val="16"/>
                <w:szCs w:val="16"/>
                <w:u w:val="none"/>
                <w:lang w:val="en-US" w:eastAsia="zh-CN" w:bidi="ar"/>
              </w:rPr>
              <w:t>❖</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E2718">
            <w:pPr>
              <w:jc w:val="center"/>
              <w:rPr>
                <w:rFonts w:hint="default" w:ascii="Arial" w:hAnsi="Arial" w:cs="Arial"/>
                <w:b/>
                <w:bCs/>
                <w:i w:val="0"/>
                <w:iCs w:val="0"/>
                <w:color w:val="000000"/>
                <w:sz w:val="15"/>
                <w:szCs w:val="15"/>
                <w:u w:val="none"/>
              </w:rPr>
            </w:pPr>
          </w:p>
        </w:tc>
      </w:tr>
      <w:tr w14:paraId="5F491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FBAA2">
            <w:pPr>
              <w:jc w:val="center"/>
              <w:rPr>
                <w:rFonts w:hint="eastAsia" w:ascii="宋体" w:hAnsi="宋体" w:eastAsia="宋体" w:cs="宋体"/>
                <w:i w:val="0"/>
                <w:iCs w:val="0"/>
                <w:color w:val="000000"/>
                <w:sz w:val="15"/>
                <w:szCs w:val="15"/>
                <w:u w:val="none"/>
              </w:rPr>
            </w:pPr>
          </w:p>
        </w:tc>
        <w:tc>
          <w:tcPr>
            <w:tcW w:w="344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B73300">
            <w:pPr>
              <w:jc w:val="center"/>
              <w:rPr>
                <w:rFonts w:hint="eastAsia" w:ascii="宋体" w:hAnsi="宋体" w:eastAsia="宋体" w:cs="宋体"/>
                <w:b/>
                <w:bCs/>
                <w:i w:val="0"/>
                <w:iCs w:val="0"/>
                <w:snapToGrid w:val="0"/>
                <w:color w:val="000000"/>
                <w:kern w:val="0"/>
                <w:sz w:val="16"/>
                <w:szCs w:val="16"/>
                <w:u w:val="none"/>
                <w:lang w:val="en-US" w:eastAsia="en-US" w:bidi="ar"/>
              </w:rPr>
            </w:pPr>
            <w:r>
              <w:rPr>
                <w:rFonts w:hint="eastAsia" w:ascii="宋体" w:hAnsi="宋体" w:eastAsia="宋体" w:cs="宋体"/>
                <w:b/>
                <w:bCs/>
                <w:i w:val="0"/>
                <w:iCs w:val="0"/>
                <w:snapToGrid w:val="0"/>
                <w:color w:val="000000"/>
                <w:kern w:val="0"/>
                <w:sz w:val="16"/>
                <w:szCs w:val="16"/>
                <w:u w:val="none"/>
                <w:lang w:val="en-US" w:eastAsia="en-US" w:bidi="ar"/>
              </w:rPr>
              <w:t>必修课小计</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E0566">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b/>
                <w:bCs/>
                <w:i w:val="0"/>
                <w:iCs w:val="0"/>
                <w:snapToGrid w:val="0"/>
                <w:color w:val="000000"/>
                <w:kern w:val="0"/>
                <w:sz w:val="16"/>
                <w:szCs w:val="16"/>
                <w:u w:val="none"/>
                <w:lang w:val="en-US" w:eastAsia="zh-CN" w:bidi="ar"/>
              </w:rPr>
              <w:t>46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8676">
            <w:pPr>
              <w:keepNext w:val="0"/>
              <w:keepLines w:val="0"/>
              <w:widowControl/>
              <w:suppressLineNumbers w:val="0"/>
              <w:jc w:val="center"/>
              <w:textAlignment w:val="center"/>
              <w:rPr>
                <w:rFonts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b/>
                <w:bCs/>
                <w:i w:val="0"/>
                <w:iCs w:val="0"/>
                <w:snapToGrid w:val="0"/>
                <w:color w:val="000000"/>
                <w:kern w:val="0"/>
                <w:sz w:val="16"/>
                <w:szCs w:val="16"/>
                <w:u w:val="none"/>
                <w:lang w:val="en-US" w:eastAsia="zh-CN" w:bidi="ar"/>
              </w:rPr>
              <w:t>770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F6E95">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b/>
                <w:bCs/>
                <w:i w:val="0"/>
                <w:iCs w:val="0"/>
                <w:snapToGrid w:val="0"/>
                <w:color w:val="000000"/>
                <w:kern w:val="0"/>
                <w:sz w:val="16"/>
                <w:szCs w:val="16"/>
                <w:u w:val="none"/>
                <w:lang w:val="en-US" w:eastAsia="zh-CN" w:bidi="ar"/>
              </w:rPr>
              <w:t>396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8A59B">
            <w:pPr>
              <w:keepNext w:val="0"/>
              <w:keepLines w:val="0"/>
              <w:widowControl/>
              <w:suppressLineNumbers w:val="0"/>
              <w:jc w:val="center"/>
              <w:textAlignment w:val="center"/>
              <w:rPr>
                <w:rFonts w:hint="eastAsia" w:ascii="宋体" w:hAnsi="宋体" w:eastAsia="宋体" w:cs="宋体"/>
                <w:i w:val="0"/>
                <w:iCs w:val="0"/>
                <w:snapToGrid w:val="0"/>
                <w:color w:val="000000"/>
                <w:kern w:val="0"/>
                <w:sz w:val="16"/>
                <w:szCs w:val="16"/>
                <w:u w:val="none"/>
                <w:lang w:val="en-US" w:eastAsia="en-US" w:bidi="ar-SA"/>
              </w:rPr>
            </w:pPr>
            <w:r>
              <w:rPr>
                <w:rFonts w:hint="eastAsia" w:ascii="宋体" w:hAnsi="宋体" w:eastAsia="宋体" w:cs="宋体"/>
                <w:b/>
                <w:bCs/>
                <w:i w:val="0"/>
                <w:iCs w:val="0"/>
                <w:snapToGrid w:val="0"/>
                <w:color w:val="000000"/>
                <w:kern w:val="0"/>
                <w:sz w:val="16"/>
                <w:szCs w:val="16"/>
                <w:u w:val="none"/>
                <w:lang w:val="en-US" w:eastAsia="zh-CN" w:bidi="ar"/>
              </w:rPr>
              <w:t>374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1A7D">
            <w:pPr>
              <w:jc w:val="center"/>
              <w:rPr>
                <w:rFonts w:ascii="宋体" w:hAnsi="宋体" w:eastAsia="宋体" w:cs="宋体"/>
                <w:i w:val="0"/>
                <w:iCs w:val="0"/>
                <w:snapToGrid w:val="0"/>
                <w:color w:val="000000"/>
                <w:kern w:val="0"/>
                <w:sz w:val="16"/>
                <w:szCs w:val="16"/>
                <w:u w:val="none"/>
                <w:lang w:val="en-US" w:eastAsia="en-US" w:bidi="ar-SA"/>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0412">
            <w:pPr>
              <w:jc w:val="center"/>
              <w:rPr>
                <w:rFonts w:hint="eastAsia" w:ascii="宋体" w:hAnsi="宋体" w:eastAsia="宋体" w:cs="宋体"/>
                <w:i w:val="0"/>
                <w:iCs w:val="0"/>
                <w:snapToGrid w:val="0"/>
                <w:color w:val="000000"/>
                <w:kern w:val="0"/>
                <w:sz w:val="16"/>
                <w:szCs w:val="16"/>
                <w:u w:val="none"/>
                <w:lang w:val="en-US" w:eastAsia="en-US" w:bidi="ar-SA"/>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1E7B">
            <w:pPr>
              <w:jc w:val="center"/>
              <w:rPr>
                <w:rFonts w:hint="eastAsia" w:ascii="宋体" w:hAnsi="宋体" w:eastAsia="宋体" w:cs="宋体"/>
                <w:i w:val="0"/>
                <w:iCs w:val="0"/>
                <w:snapToGrid w:val="0"/>
                <w:color w:val="000000"/>
                <w:kern w:val="0"/>
                <w:sz w:val="16"/>
                <w:szCs w:val="16"/>
                <w:u w:val="none"/>
                <w:lang w:val="en-US" w:eastAsia="en-US" w:bidi="ar-SA"/>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783EA">
            <w:pPr>
              <w:jc w:val="center"/>
              <w:rPr>
                <w:rFonts w:hint="eastAsia" w:ascii="宋体" w:hAnsi="宋体" w:eastAsia="宋体" w:cs="宋体"/>
                <w:i w:val="0"/>
                <w:iCs w:val="0"/>
                <w:snapToGrid w:val="0"/>
                <w:color w:val="000000"/>
                <w:kern w:val="0"/>
                <w:sz w:val="16"/>
                <w:szCs w:val="16"/>
                <w:u w:val="none"/>
                <w:lang w:val="en-US" w:eastAsia="en-US" w:bidi="ar-SA"/>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CEFD1">
            <w:pPr>
              <w:jc w:val="center"/>
              <w:rPr>
                <w:rFonts w:hint="default" w:ascii="Arial" w:hAnsi="Arial" w:cs="Arial"/>
                <w:b/>
                <w:bCs/>
                <w:i w:val="0"/>
                <w:iCs w:val="0"/>
                <w:color w:val="000000"/>
                <w:sz w:val="15"/>
                <w:szCs w:val="15"/>
                <w:u w:val="none"/>
              </w:rPr>
            </w:pPr>
          </w:p>
        </w:tc>
      </w:tr>
      <w:tr w14:paraId="2DF15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90640">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888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大学生职业生涯规划</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75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6E61">
            <w:pPr>
              <w:jc w:val="cente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DC92">
            <w:pPr>
              <w:jc w:val="center"/>
              <w:rPr>
                <w:rFonts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大学生生涯教育教研室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B227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980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573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4C3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9406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E86BE">
            <w:pPr>
              <w:jc w:val="cente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07D92">
            <w:pPr>
              <w:jc w:val="center"/>
              <w:rPr>
                <w:rFonts w:ascii="宋体" w:hAnsi="宋体" w:eastAsia="宋体" w:cs="宋体"/>
                <w:i w:val="0"/>
                <w:iCs w:val="0"/>
                <w:color w:val="000000"/>
                <w:sz w:val="16"/>
                <w:szCs w:val="16"/>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D056">
            <w:pPr>
              <w:jc w:val="center"/>
              <w:rPr>
                <w:rFonts w:ascii="宋体" w:hAnsi="宋体" w:eastAsia="宋体" w:cs="宋体"/>
                <w:i w:val="0"/>
                <w:iCs w:val="0"/>
                <w:color w:val="000000"/>
                <w:sz w:val="16"/>
                <w:szCs w:val="16"/>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1E758">
            <w:pPr>
              <w:jc w:val="center"/>
              <w:rPr>
                <w:rFonts w:hint="default" w:ascii="Arial" w:hAnsi="Arial" w:cs="Arial"/>
                <w:b/>
                <w:bCs/>
                <w:i w:val="0"/>
                <w:iCs w:val="0"/>
                <w:color w:val="000000"/>
                <w:sz w:val="15"/>
                <w:szCs w:val="15"/>
                <w:u w:val="none"/>
              </w:rPr>
            </w:pPr>
          </w:p>
        </w:tc>
      </w:tr>
      <w:tr w14:paraId="31F26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F3F18">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7BA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就业与创业指导</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47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2DCE">
            <w:pPr>
              <w:jc w:val="cente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9034C">
            <w:pPr>
              <w:jc w:val="center"/>
              <w:rPr>
                <w:rFonts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大学生生涯教育教研室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92A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6FA9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23F1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997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B3EB">
            <w:pPr>
              <w:jc w:val="center"/>
              <w:rPr>
                <w:rFonts w:ascii="宋体" w:hAnsi="宋体" w:eastAsia="宋体" w:cs="宋体"/>
                <w:i w:val="0"/>
                <w:iCs w:val="0"/>
                <w:color w:val="000000"/>
                <w:sz w:val="16"/>
                <w:szCs w:val="16"/>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B9A6">
            <w:pPr>
              <w:jc w:val="center"/>
              <w:rPr>
                <w:rFonts w:hint="eastAsia"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1A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5EBEE">
            <w:pPr>
              <w:jc w:val="center"/>
              <w:rPr>
                <w:rFonts w:hint="eastAsia" w:ascii="宋体" w:hAnsi="宋体" w:eastAsia="宋体" w:cs="宋体"/>
                <w:i w:val="0"/>
                <w:iCs w:val="0"/>
                <w:color w:val="000000"/>
                <w:sz w:val="16"/>
                <w:szCs w:val="16"/>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805C8">
            <w:pPr>
              <w:jc w:val="center"/>
              <w:rPr>
                <w:rFonts w:hint="default" w:ascii="Arial" w:hAnsi="Arial" w:cs="Arial"/>
                <w:b/>
                <w:bCs/>
                <w:i w:val="0"/>
                <w:iCs w:val="0"/>
                <w:color w:val="000000"/>
                <w:sz w:val="15"/>
                <w:szCs w:val="15"/>
                <w:u w:val="none"/>
              </w:rPr>
            </w:pPr>
          </w:p>
        </w:tc>
      </w:tr>
      <w:tr w14:paraId="7E898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D8D58">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4D1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卫生法律法规</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24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82B4">
            <w:pPr>
              <w:jc w:val="cente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07D95">
            <w:pPr>
              <w:jc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6A25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908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B2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7B9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D11C">
            <w:pPr>
              <w:jc w:val="center"/>
              <w:rPr>
                <w:rFonts w:ascii="宋体" w:hAnsi="宋体" w:eastAsia="宋体" w:cs="宋体"/>
                <w:i w:val="0"/>
                <w:iCs w:val="0"/>
                <w:color w:val="000000"/>
                <w:sz w:val="16"/>
                <w:szCs w:val="16"/>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DD0B4">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3C847">
            <w:pPr>
              <w:jc w:val="center"/>
              <w:rPr>
                <w:rFonts w:ascii="宋体" w:hAnsi="宋体" w:eastAsia="宋体" w:cs="宋体"/>
                <w:i w:val="0"/>
                <w:iCs w:val="0"/>
                <w:color w:val="000000"/>
                <w:sz w:val="16"/>
                <w:szCs w:val="16"/>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B655C">
            <w:pPr>
              <w:jc w:val="center"/>
              <w:rPr>
                <w:rFonts w:ascii="宋体" w:hAnsi="宋体" w:eastAsia="宋体" w:cs="宋体"/>
                <w:i w:val="0"/>
                <w:iCs w:val="0"/>
                <w:color w:val="000000"/>
                <w:sz w:val="16"/>
                <w:szCs w:val="16"/>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EAEB3">
            <w:pPr>
              <w:jc w:val="center"/>
              <w:rPr>
                <w:rFonts w:hint="default" w:ascii="Arial" w:hAnsi="Arial" w:cs="Arial"/>
                <w:b/>
                <w:bCs/>
                <w:i w:val="0"/>
                <w:iCs w:val="0"/>
                <w:color w:val="000000"/>
                <w:sz w:val="15"/>
                <w:szCs w:val="15"/>
                <w:u w:val="none"/>
              </w:rPr>
            </w:pPr>
          </w:p>
        </w:tc>
      </w:tr>
      <w:tr w14:paraId="1B4A9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67EEC">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B0C8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急救知识与技术</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B7E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C1F6">
            <w:pPr>
              <w:jc w:val="center"/>
              <w:rPr>
                <w:rFonts w:hint="eastAsia"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4967">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lang w:val="en-US" w:eastAsia="zh-CN"/>
              </w:rPr>
              <w:t>临床医学院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1A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DF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2C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48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0B47D">
            <w:pPr>
              <w:jc w:val="center"/>
              <w:rPr>
                <w:rFonts w:hint="eastAsia" w:ascii="宋体" w:hAnsi="宋体" w:eastAsia="宋体" w:cs="宋体"/>
                <w:i w:val="0"/>
                <w:iCs w:val="0"/>
                <w:color w:val="000000"/>
                <w:sz w:val="16"/>
                <w:szCs w:val="16"/>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E412">
            <w:pPr>
              <w:jc w:val="center"/>
              <w:rPr>
                <w:rFonts w:hint="eastAsia"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4E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A107D">
            <w:pPr>
              <w:jc w:val="center"/>
              <w:rPr>
                <w:rFonts w:hint="eastAsia" w:ascii="宋体" w:hAnsi="宋体" w:eastAsia="宋体" w:cs="宋体"/>
                <w:i w:val="0"/>
                <w:iCs w:val="0"/>
                <w:color w:val="000000"/>
                <w:sz w:val="16"/>
                <w:szCs w:val="16"/>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F25D8">
            <w:pPr>
              <w:jc w:val="center"/>
              <w:rPr>
                <w:rFonts w:hint="default" w:ascii="Arial" w:hAnsi="Arial" w:cs="Arial"/>
                <w:b/>
                <w:bCs/>
                <w:i w:val="0"/>
                <w:iCs w:val="0"/>
                <w:color w:val="000000"/>
                <w:sz w:val="15"/>
                <w:szCs w:val="15"/>
                <w:u w:val="none"/>
              </w:rPr>
            </w:pPr>
          </w:p>
        </w:tc>
      </w:tr>
      <w:tr w14:paraId="382B9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A4B78">
            <w:pPr>
              <w:jc w:val="center"/>
              <w:rPr>
                <w:rFonts w:hint="eastAsia" w:ascii="宋体" w:hAnsi="宋体" w:eastAsia="宋体" w:cs="宋体"/>
                <w:i w:val="0"/>
                <w:iCs w:val="0"/>
                <w:color w:val="000000"/>
                <w:sz w:val="15"/>
                <w:szCs w:val="15"/>
                <w:u w:val="none"/>
              </w:rPr>
            </w:pPr>
          </w:p>
        </w:tc>
        <w:tc>
          <w:tcPr>
            <w:tcW w:w="344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E1AD7D9">
            <w:pPr>
              <w:jc w:val="center"/>
              <w:rPr>
                <w:rFonts w:hint="eastAsia" w:ascii="宋体" w:hAnsi="宋体" w:eastAsia="宋体" w:cs="宋体"/>
                <w:b/>
                <w:bCs/>
                <w:i w:val="0"/>
                <w:iCs w:val="0"/>
                <w:snapToGrid w:val="0"/>
                <w:color w:val="000000"/>
                <w:kern w:val="0"/>
                <w:sz w:val="16"/>
                <w:szCs w:val="16"/>
                <w:u w:val="none"/>
                <w:lang w:val="en-US" w:eastAsia="en-US" w:bidi="ar"/>
              </w:rPr>
            </w:pPr>
            <w:r>
              <w:rPr>
                <w:rFonts w:hint="eastAsia" w:ascii="宋体" w:hAnsi="宋体" w:eastAsia="宋体" w:cs="宋体"/>
                <w:b/>
                <w:bCs/>
                <w:i w:val="0"/>
                <w:iCs w:val="0"/>
                <w:snapToGrid w:val="0"/>
                <w:color w:val="000000"/>
                <w:kern w:val="0"/>
                <w:sz w:val="16"/>
                <w:szCs w:val="16"/>
                <w:u w:val="none"/>
                <w:lang w:val="en-US" w:eastAsia="en-US" w:bidi="ar"/>
              </w:rPr>
              <w:t>限定选修课小计</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3CC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0AA6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56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DC5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34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7B56">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22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17F6F">
            <w:pPr>
              <w:jc w:val="center"/>
              <w:rPr>
                <w:rFonts w:hint="eastAsia" w:ascii="宋体" w:hAnsi="宋体" w:eastAsia="宋体" w:cs="宋体"/>
                <w:i w:val="0"/>
                <w:iCs w:val="0"/>
                <w:color w:val="000000"/>
                <w:sz w:val="16"/>
                <w:szCs w:val="16"/>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73CB">
            <w:pPr>
              <w:jc w:val="center"/>
              <w:rPr>
                <w:rFonts w:hint="eastAsia"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E2950">
            <w:pPr>
              <w:jc w:val="center"/>
              <w:rPr>
                <w:rFonts w:hint="eastAsia" w:ascii="宋体" w:hAnsi="宋体" w:eastAsia="宋体" w:cs="宋体"/>
                <w:i w:val="0"/>
                <w:iCs w:val="0"/>
                <w:color w:val="000000"/>
                <w:sz w:val="16"/>
                <w:szCs w:val="16"/>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E4D2">
            <w:pPr>
              <w:jc w:val="center"/>
              <w:rPr>
                <w:rFonts w:hint="eastAsia" w:ascii="宋体" w:hAnsi="宋体" w:eastAsia="宋体" w:cs="宋体"/>
                <w:i w:val="0"/>
                <w:iCs w:val="0"/>
                <w:color w:val="000000"/>
                <w:sz w:val="16"/>
                <w:szCs w:val="16"/>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A3CC9">
            <w:pPr>
              <w:jc w:val="center"/>
              <w:rPr>
                <w:rFonts w:hint="default" w:ascii="Arial" w:hAnsi="Arial" w:cs="Arial"/>
                <w:b/>
                <w:bCs/>
                <w:i w:val="0"/>
                <w:iCs w:val="0"/>
                <w:color w:val="000000"/>
                <w:sz w:val="15"/>
                <w:szCs w:val="15"/>
                <w:u w:val="none"/>
              </w:rPr>
            </w:pPr>
          </w:p>
        </w:tc>
      </w:tr>
      <w:tr w14:paraId="27938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44B32">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816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普通话实训与测试</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FA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18BC">
            <w:pPr>
              <w:jc w:val="cente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499D">
            <w:pPr>
              <w:jc w:val="center"/>
              <w:rPr>
                <w:rFonts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教务处</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CB5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CD40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F065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E98C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8D10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2E3EC">
            <w:pPr>
              <w:jc w:val="center"/>
              <w:rPr>
                <w:rFonts w:hint="eastAsia"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A379">
            <w:pPr>
              <w:jc w:val="center"/>
              <w:rPr>
                <w:rFonts w:ascii="宋体" w:hAnsi="宋体" w:eastAsia="宋体" w:cs="宋体"/>
                <w:i w:val="0"/>
                <w:iCs w:val="0"/>
                <w:color w:val="000000"/>
                <w:sz w:val="16"/>
                <w:szCs w:val="16"/>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DA0C1">
            <w:pPr>
              <w:jc w:val="center"/>
              <w:rPr>
                <w:rFonts w:hint="eastAsia" w:ascii="宋体" w:hAnsi="宋体" w:eastAsia="宋体" w:cs="宋体"/>
                <w:i w:val="0"/>
                <w:iCs w:val="0"/>
                <w:color w:val="000000"/>
                <w:sz w:val="16"/>
                <w:szCs w:val="16"/>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A0D8B">
            <w:pPr>
              <w:jc w:val="center"/>
              <w:rPr>
                <w:rFonts w:hint="default" w:ascii="Arial" w:hAnsi="Arial" w:cs="Arial"/>
                <w:b/>
                <w:bCs/>
                <w:i w:val="0"/>
                <w:iCs w:val="0"/>
                <w:color w:val="000000"/>
                <w:sz w:val="15"/>
                <w:szCs w:val="15"/>
                <w:u w:val="none"/>
              </w:rPr>
            </w:pPr>
          </w:p>
        </w:tc>
      </w:tr>
      <w:tr w14:paraId="0E2DA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DCF4D">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FDA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“四史”教育</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526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20295">
            <w:pPr>
              <w:jc w:val="cente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211D9">
            <w:pPr>
              <w:jc w:val="center"/>
              <w:rPr>
                <w:rFonts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教务处</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9400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A4D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78C31">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D915">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D821D">
            <w:pPr>
              <w:rPr>
                <w:rFonts w:ascii="宋体" w:hAnsi="宋体" w:eastAsia="宋体" w:cs="宋体"/>
                <w:i w:val="0"/>
                <w:iCs w:val="0"/>
                <w:color w:val="000000"/>
                <w:sz w:val="16"/>
                <w:szCs w:val="16"/>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8D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5A71E">
            <w:pPr>
              <w:jc w:val="center"/>
              <w:rPr>
                <w:rFonts w:hint="eastAsia" w:ascii="宋体" w:hAnsi="宋体" w:eastAsia="宋体" w:cs="宋体"/>
                <w:i w:val="0"/>
                <w:iCs w:val="0"/>
                <w:color w:val="000000"/>
                <w:sz w:val="16"/>
                <w:szCs w:val="16"/>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7B34E">
            <w:pPr>
              <w:jc w:val="center"/>
              <w:rPr>
                <w:rFonts w:hint="eastAsia" w:ascii="宋体" w:hAnsi="宋体" w:eastAsia="宋体" w:cs="宋体"/>
                <w:i w:val="0"/>
                <w:iCs w:val="0"/>
                <w:color w:val="000000"/>
                <w:sz w:val="16"/>
                <w:szCs w:val="16"/>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A0C52C">
            <w:pPr>
              <w:jc w:val="center"/>
              <w:rPr>
                <w:rFonts w:hint="default" w:ascii="Arial" w:hAnsi="Arial" w:cs="Arial"/>
                <w:b/>
                <w:bCs/>
                <w:i w:val="0"/>
                <w:iCs w:val="0"/>
                <w:color w:val="000000"/>
                <w:sz w:val="15"/>
                <w:szCs w:val="15"/>
                <w:u w:val="none"/>
              </w:rPr>
            </w:pPr>
          </w:p>
        </w:tc>
      </w:tr>
      <w:tr w14:paraId="7A21F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CF3D2">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8B8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中华优秀传统文化</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5B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A350">
            <w:pPr>
              <w:jc w:val="cente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856BC">
            <w:pPr>
              <w:jc w:val="center"/>
              <w:rPr>
                <w:rFonts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教务处</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03AA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D9E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59882">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934A">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C73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434F5">
            <w:pP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D413">
            <w:pPr>
              <w:jc w:val="center"/>
              <w:rPr>
                <w:rFonts w:hint="eastAsia" w:ascii="宋体" w:hAnsi="宋体" w:eastAsia="宋体" w:cs="宋体"/>
                <w:i w:val="0"/>
                <w:iCs w:val="0"/>
                <w:color w:val="000000"/>
                <w:sz w:val="16"/>
                <w:szCs w:val="16"/>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5C9D">
            <w:pPr>
              <w:jc w:val="center"/>
              <w:rPr>
                <w:rFonts w:hint="eastAsia" w:ascii="宋体" w:hAnsi="宋体" w:eastAsia="宋体" w:cs="宋体"/>
                <w:i w:val="0"/>
                <w:iCs w:val="0"/>
                <w:color w:val="000000"/>
                <w:sz w:val="16"/>
                <w:szCs w:val="16"/>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43FAE">
            <w:pPr>
              <w:jc w:val="center"/>
              <w:rPr>
                <w:rFonts w:hint="default" w:ascii="Arial" w:hAnsi="Arial" w:cs="Arial"/>
                <w:b/>
                <w:bCs/>
                <w:i w:val="0"/>
                <w:iCs w:val="0"/>
                <w:color w:val="000000"/>
                <w:sz w:val="15"/>
                <w:szCs w:val="15"/>
                <w:u w:val="none"/>
              </w:rPr>
            </w:pPr>
          </w:p>
        </w:tc>
      </w:tr>
      <w:tr w14:paraId="640FF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11D47">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330B">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大学美育</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F4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945AB">
            <w:pPr>
              <w:jc w:val="cente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1546F">
            <w:pPr>
              <w:jc w:val="center"/>
              <w:rPr>
                <w:rFonts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教务处</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5552C">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D830">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36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6D4E4">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i w:val="0"/>
                <w:iCs w:val="0"/>
                <w:snapToGrid w:val="0"/>
                <w:color w:val="000000"/>
                <w:kern w:val="0"/>
                <w:sz w:val="16"/>
                <w:szCs w:val="16"/>
                <w:u w:val="none"/>
                <w:lang w:val="en-US" w:eastAsia="zh-CN" w:bidi="ar"/>
              </w:rPr>
              <w:t>36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A07A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4FBF">
            <w:pPr>
              <w:jc w:val="center"/>
              <w:rPr>
                <w:rFonts w:hint="eastAsia" w:ascii="宋体" w:hAnsi="宋体" w:eastAsia="宋体" w:cs="宋体"/>
                <w:i w:val="0"/>
                <w:iCs w:val="0"/>
                <w:color w:val="000000"/>
                <w:sz w:val="16"/>
                <w:szCs w:val="16"/>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CAB8">
            <w:pPr>
              <w:jc w:val="center"/>
              <w:rPr>
                <w:rFonts w:hint="eastAsia"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6F7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4ED9">
            <w:pPr>
              <w:jc w:val="center"/>
              <w:rPr>
                <w:rFonts w:hint="eastAsia" w:ascii="宋体" w:hAnsi="宋体" w:eastAsia="宋体" w:cs="宋体"/>
                <w:i w:val="0"/>
                <w:iCs w:val="0"/>
                <w:color w:val="000000"/>
                <w:sz w:val="16"/>
                <w:szCs w:val="16"/>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E5E1A">
            <w:pPr>
              <w:jc w:val="center"/>
              <w:rPr>
                <w:rFonts w:hint="default" w:ascii="Arial" w:hAnsi="Arial" w:cs="Arial"/>
                <w:b/>
                <w:bCs/>
                <w:i w:val="0"/>
                <w:iCs w:val="0"/>
                <w:color w:val="000000"/>
                <w:sz w:val="15"/>
                <w:szCs w:val="15"/>
                <w:u w:val="none"/>
              </w:rPr>
            </w:pPr>
          </w:p>
        </w:tc>
      </w:tr>
      <w:tr w14:paraId="785ED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9BE53">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020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职业素养</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49A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5408">
            <w:pPr>
              <w:jc w:val="cente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57C1">
            <w:pPr>
              <w:jc w:val="center"/>
              <w:rPr>
                <w:rFonts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教务处</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A128">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1F1B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934D7">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A90AE">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6A67A">
            <w:pPr>
              <w:jc w:val="center"/>
              <w:rPr>
                <w:rFonts w:hint="eastAsia" w:ascii="宋体" w:hAnsi="宋体" w:eastAsia="宋体" w:cs="宋体"/>
                <w:i w:val="0"/>
                <w:iCs w:val="0"/>
                <w:color w:val="000000"/>
                <w:sz w:val="16"/>
                <w:szCs w:val="16"/>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AF62">
            <w:pPr>
              <w:jc w:val="center"/>
              <w:rPr>
                <w:rFonts w:hint="eastAsia"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43415">
            <w:pPr>
              <w:jc w:val="center"/>
              <w:rPr>
                <w:rFonts w:hint="eastAsia" w:ascii="宋体" w:hAnsi="宋体" w:eastAsia="宋体" w:cs="宋体"/>
                <w:i w:val="0"/>
                <w:iCs w:val="0"/>
                <w:color w:val="000000"/>
                <w:sz w:val="16"/>
                <w:szCs w:val="16"/>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FFD50">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73CEDB">
            <w:pPr>
              <w:jc w:val="center"/>
              <w:rPr>
                <w:rFonts w:hint="default" w:ascii="Arial" w:hAnsi="Arial" w:cs="Arial"/>
                <w:b/>
                <w:bCs/>
                <w:i w:val="0"/>
                <w:iCs w:val="0"/>
                <w:color w:val="000000"/>
                <w:sz w:val="15"/>
                <w:szCs w:val="15"/>
                <w:u w:val="none"/>
              </w:rPr>
            </w:pPr>
          </w:p>
        </w:tc>
      </w:tr>
      <w:tr w14:paraId="232D2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A3045">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215D">
            <w:pPr>
              <w:keepNext w:val="0"/>
              <w:keepLines w:val="0"/>
              <w:widowControl/>
              <w:suppressLineNumbers w:val="0"/>
              <w:jc w:val="center"/>
              <w:textAlignment w:val="center"/>
              <w:rPr>
                <w:rFonts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健康教育</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0D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3E77">
            <w:pPr>
              <w:jc w:val="center"/>
              <w:rPr>
                <w:rFonts w:ascii="宋体" w:hAnsi="宋体" w:eastAsia="宋体" w:cs="宋体"/>
                <w:i w:val="0"/>
                <w:iCs w:val="0"/>
                <w:color w:val="000000"/>
                <w:sz w:val="16"/>
                <w:szCs w:val="16"/>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6029C">
            <w:pPr>
              <w:jc w:val="center"/>
              <w:rPr>
                <w:rFonts w:ascii="宋体" w:hAnsi="宋体" w:eastAsia="宋体" w:cs="宋体"/>
                <w:i w:val="0"/>
                <w:iCs w:val="0"/>
                <w:color w:val="000000"/>
                <w:sz w:val="16"/>
                <w:szCs w:val="16"/>
                <w:u w:val="none"/>
              </w:rPr>
            </w:pPr>
            <w:r>
              <w:rPr>
                <w:rFonts w:hint="eastAsia" w:ascii="宋体" w:hAnsi="宋体" w:eastAsia="宋体" w:cs="宋体"/>
                <w:i w:val="0"/>
                <w:iCs w:val="0"/>
                <w:color w:val="000000"/>
                <w:sz w:val="16"/>
                <w:szCs w:val="16"/>
                <w:u w:val="none"/>
              </w:rPr>
              <w:t>体育教学部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7DBC9">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46BD">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9E71">
            <w:pPr>
              <w:jc w:val="center"/>
              <w:rPr>
                <w:rFonts w:hint="default"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04548">
            <w:pPr>
              <w:keepNext w:val="0"/>
              <w:keepLines w:val="0"/>
              <w:widowControl/>
              <w:suppressLineNumbers w:val="0"/>
              <w:jc w:val="center"/>
              <w:textAlignment w:val="center"/>
              <w:rPr>
                <w:rFonts w:hint="eastAsia" w:ascii="宋体" w:hAnsi="宋体" w:eastAsia="宋体" w:cs="宋体"/>
                <w:i w:val="0"/>
                <w:iCs w:val="0"/>
                <w:color w:val="000000"/>
                <w:sz w:val="16"/>
                <w:szCs w:val="16"/>
                <w:u w:val="none"/>
                <w:lang w:val="en-US" w:eastAsia="zh-CN"/>
              </w:rPr>
            </w:pPr>
            <w:r>
              <w:rPr>
                <w:rFonts w:hint="eastAsia" w:ascii="宋体" w:hAnsi="宋体" w:eastAsia="宋体" w:cs="宋体"/>
                <w:i w:val="0"/>
                <w:iCs w:val="0"/>
                <w:color w:val="000000"/>
                <w:sz w:val="16"/>
                <w:szCs w:val="16"/>
                <w:u w:val="none"/>
                <w:lang w:val="en-US" w:eastAsia="zh-CN"/>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D4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7503B">
            <w:pPr>
              <w:jc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E39E">
            <w:pPr>
              <w:jc w:val="center"/>
              <w:rPr>
                <w:rFonts w:hint="eastAsia" w:ascii="宋体" w:hAnsi="宋体" w:eastAsia="宋体" w:cs="宋体"/>
                <w:i w:val="0"/>
                <w:iCs w:val="0"/>
                <w:color w:val="000000"/>
                <w:sz w:val="16"/>
                <w:szCs w:val="16"/>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0A3A">
            <w:pPr>
              <w:jc w:val="center"/>
              <w:rPr>
                <w:rFonts w:ascii="宋体" w:hAnsi="宋体" w:eastAsia="宋体" w:cs="宋体"/>
                <w:i w:val="0"/>
                <w:iCs w:val="0"/>
                <w:color w:val="000000"/>
                <w:sz w:val="16"/>
                <w:szCs w:val="16"/>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F5877">
            <w:pPr>
              <w:jc w:val="center"/>
              <w:rPr>
                <w:rFonts w:hint="default" w:ascii="Arial" w:hAnsi="Arial" w:cs="Arial"/>
                <w:b/>
                <w:bCs/>
                <w:i w:val="0"/>
                <w:iCs w:val="0"/>
                <w:color w:val="000000"/>
                <w:sz w:val="15"/>
                <w:szCs w:val="15"/>
                <w:u w:val="none"/>
              </w:rPr>
            </w:pPr>
          </w:p>
        </w:tc>
      </w:tr>
      <w:tr w14:paraId="7186C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5BDEB">
            <w:pPr>
              <w:jc w:val="center"/>
              <w:rPr>
                <w:rFonts w:hint="eastAsia" w:ascii="宋体" w:hAnsi="宋体" w:eastAsia="宋体" w:cs="宋体"/>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2131">
            <w:pPr>
              <w:keepNext w:val="0"/>
              <w:keepLines w:val="0"/>
              <w:widowControl/>
              <w:suppressLineNumbers w:val="0"/>
              <w:jc w:val="center"/>
              <w:textAlignment w:val="cente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数智化</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F6E53">
            <w:pPr>
              <w:keepNext w:val="0"/>
              <w:keepLines w:val="0"/>
              <w:widowControl/>
              <w:suppressLineNumbers w:val="0"/>
              <w:jc w:val="center"/>
              <w:textAlignment w:val="cente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6027">
            <w:pPr>
              <w:jc w:val="center"/>
              <w:rPr>
                <w:rFonts w:ascii="宋体" w:hAnsi="宋体" w:eastAsia="宋体" w:cs="宋体"/>
                <w:i w:val="0"/>
                <w:iCs w:val="0"/>
                <w:color w:val="000000" w:themeColor="text1"/>
                <w:sz w:val="16"/>
                <w:szCs w:val="16"/>
                <w:highlight w:val="none"/>
                <w:u w:val="none"/>
                <w14:textFill>
                  <w14:solidFill>
                    <w14:schemeClr w14:val="tx1"/>
                  </w14:solidFill>
                </w14:textFill>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7049">
            <w:pPr>
              <w:jc w:val="center"/>
              <w:rPr>
                <w:rFonts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color w:val="000000" w:themeColor="text1"/>
                <w:sz w:val="16"/>
                <w:szCs w:val="16"/>
                <w:highlight w:val="none"/>
                <w:u w:val="none"/>
                <w14:textFill>
                  <w14:solidFill>
                    <w14:schemeClr w14:val="tx1"/>
                  </w14:solidFill>
                </w14:textFill>
              </w:rPr>
              <w:t>公共基础学院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1A3FA">
            <w:pPr>
              <w:keepNext w:val="0"/>
              <w:keepLines w:val="0"/>
              <w:widowControl/>
              <w:suppressLineNumbers w:val="0"/>
              <w:jc w:val="center"/>
              <w:textAlignment w:val="center"/>
              <w:rPr>
                <w:rFonts w:hint="default" w:ascii="宋体" w:hAnsi="宋体" w:eastAsia="宋体" w:cs="宋体"/>
                <w:i w:val="0"/>
                <w:iCs w:val="0"/>
                <w:color w:val="000000" w:themeColor="text1"/>
                <w:sz w:val="16"/>
                <w:szCs w:val="16"/>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16"/>
                <w:szCs w:val="16"/>
                <w:highlight w:val="none"/>
                <w:u w:val="none"/>
                <w:lang w:val="en-US" w:eastAsia="zh-CN"/>
                <w14:textFill>
                  <w14:solidFill>
                    <w14:schemeClr w14:val="tx1"/>
                  </w14:solidFill>
                </w14:textFill>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7AB7">
            <w:pPr>
              <w:keepNext w:val="0"/>
              <w:keepLines w:val="0"/>
              <w:widowControl/>
              <w:suppressLineNumbers w:val="0"/>
              <w:jc w:val="center"/>
              <w:textAlignment w:val="center"/>
              <w:rPr>
                <w:rFonts w:hint="default" w:ascii="宋体" w:hAnsi="宋体" w:eastAsia="宋体" w:cs="宋体"/>
                <w:i w:val="0"/>
                <w:iCs w:val="0"/>
                <w:color w:val="000000" w:themeColor="text1"/>
                <w:sz w:val="16"/>
                <w:szCs w:val="16"/>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16"/>
                <w:szCs w:val="16"/>
                <w:highlight w:val="none"/>
                <w:u w:val="none"/>
                <w:lang w:val="en-US" w:eastAsia="zh-CN"/>
                <w14:textFill>
                  <w14:solidFill>
                    <w14:schemeClr w14:val="tx1"/>
                  </w14:solidFill>
                </w14:textFill>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1D3D">
            <w:pPr>
              <w:jc w:val="center"/>
              <w:rPr>
                <w:rFonts w:hint="default" w:ascii="宋体" w:hAnsi="宋体" w:eastAsia="宋体" w:cs="宋体"/>
                <w:i w:val="0"/>
                <w:iCs w:val="0"/>
                <w:color w:val="000000" w:themeColor="text1"/>
                <w:sz w:val="16"/>
                <w:szCs w:val="16"/>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16"/>
                <w:szCs w:val="16"/>
                <w:highlight w:val="none"/>
                <w:u w:val="none"/>
                <w:lang w:val="en-US" w:eastAsia="zh-CN"/>
                <w14:textFill>
                  <w14:solidFill>
                    <w14:schemeClr w14:val="tx1"/>
                  </w14:solidFill>
                </w14:textFill>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4C7F">
            <w:pPr>
              <w:keepNext w:val="0"/>
              <w:keepLines w:val="0"/>
              <w:widowControl/>
              <w:suppressLineNumbers w:val="0"/>
              <w:jc w:val="center"/>
              <w:textAlignment w:val="center"/>
              <w:rPr>
                <w:rFonts w:hint="default" w:ascii="宋体" w:hAnsi="宋体" w:eastAsia="宋体" w:cs="宋体"/>
                <w:i w:val="0"/>
                <w:iCs w:val="0"/>
                <w:color w:val="000000" w:themeColor="text1"/>
                <w:sz w:val="16"/>
                <w:szCs w:val="16"/>
                <w:highlight w:val="none"/>
                <w:u w:val="none"/>
                <w:lang w:val="en-US" w:eastAsia="zh-CN"/>
                <w14:textFill>
                  <w14:solidFill>
                    <w14:schemeClr w14:val="tx1"/>
                  </w14:solidFill>
                </w14:textFill>
              </w:rPr>
            </w:pPr>
            <w:r>
              <w:rPr>
                <w:rFonts w:hint="eastAsia" w:ascii="宋体" w:hAnsi="宋体" w:eastAsia="宋体" w:cs="宋体"/>
                <w:i w:val="0"/>
                <w:iCs w:val="0"/>
                <w:color w:val="000000" w:themeColor="text1"/>
                <w:sz w:val="16"/>
                <w:szCs w:val="16"/>
                <w:highlight w:val="none"/>
                <w:u w:val="none"/>
                <w:lang w:val="en-US" w:eastAsia="zh-CN"/>
                <w14:textFill>
                  <w14:solidFill>
                    <w14:schemeClr w14:val="tx1"/>
                  </w14:solidFill>
                </w14:textFill>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5979">
            <w:pPr>
              <w:keepNext w:val="0"/>
              <w:keepLines w:val="0"/>
              <w:widowControl/>
              <w:suppressLineNumbers w:val="0"/>
              <w:jc w:val="center"/>
              <w:textAlignment w:val="center"/>
              <w:rPr>
                <w:rFonts w:hint="eastAsia" w:ascii="宋体" w:hAnsi="宋体" w:eastAsia="宋体" w:cs="宋体"/>
                <w:i w:val="0"/>
                <w:iCs w:val="0"/>
                <w:color w:val="000000" w:themeColor="text1"/>
                <w:sz w:val="16"/>
                <w:szCs w:val="16"/>
                <w:highlight w:val="none"/>
                <w:u w:val="none"/>
                <w14:textFill>
                  <w14:solidFill>
                    <w14:schemeClr w14:val="tx1"/>
                  </w14:solidFill>
                </w14:textFill>
              </w:rPr>
            </w:pPr>
            <w:r>
              <w:rPr>
                <w:rFonts w:hint="eastAsia" w:ascii="宋体" w:hAnsi="宋体" w:eastAsia="宋体" w:cs="宋体"/>
                <w:i w:val="0"/>
                <w:iCs w:val="0"/>
                <w:snapToGrid w:val="0"/>
                <w:color w:val="000000" w:themeColor="text1"/>
                <w:kern w:val="0"/>
                <w:sz w:val="16"/>
                <w:szCs w:val="16"/>
                <w:highlight w:val="none"/>
                <w:u w:val="none"/>
                <w:lang w:val="en-US" w:eastAsia="zh-CN" w:bidi="ar"/>
                <w14:textFill>
                  <w14:solidFill>
                    <w14:schemeClr w14:val="tx1"/>
                  </w14:solidFill>
                </w14:textFill>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D93B">
            <w:pPr>
              <w:jc w:val="center"/>
              <w:rPr>
                <w:rFonts w:hint="eastAsia" w:ascii="宋体" w:hAnsi="宋体" w:eastAsia="宋体" w:cs="宋体"/>
                <w:i w:val="0"/>
                <w:iCs w:val="0"/>
                <w:snapToGrid w:val="0"/>
                <w:color w:val="000000"/>
                <w:kern w:val="0"/>
                <w:sz w:val="16"/>
                <w:szCs w:val="16"/>
                <w:u w:val="none"/>
                <w:lang w:val="en-US" w:eastAsia="zh-CN" w:bidi="ar"/>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C8EA">
            <w:pPr>
              <w:jc w:val="center"/>
              <w:rPr>
                <w:rFonts w:hint="eastAsia" w:ascii="宋体" w:hAnsi="宋体" w:eastAsia="宋体" w:cs="宋体"/>
                <w:i w:val="0"/>
                <w:iCs w:val="0"/>
                <w:color w:val="000000"/>
                <w:sz w:val="16"/>
                <w:szCs w:val="16"/>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812B">
            <w:pPr>
              <w:jc w:val="center"/>
              <w:rPr>
                <w:rFonts w:ascii="宋体" w:hAnsi="宋体" w:eastAsia="宋体" w:cs="宋体"/>
                <w:i w:val="0"/>
                <w:iCs w:val="0"/>
                <w:color w:val="000000"/>
                <w:sz w:val="16"/>
                <w:szCs w:val="16"/>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249CE">
            <w:pPr>
              <w:jc w:val="center"/>
              <w:rPr>
                <w:rFonts w:hint="default" w:ascii="Arial" w:hAnsi="Arial" w:cs="Arial"/>
                <w:b/>
                <w:bCs/>
                <w:i w:val="0"/>
                <w:iCs w:val="0"/>
                <w:color w:val="000000"/>
                <w:sz w:val="15"/>
                <w:szCs w:val="15"/>
                <w:u w:val="none"/>
              </w:rPr>
            </w:pPr>
          </w:p>
        </w:tc>
      </w:tr>
      <w:tr w14:paraId="055B1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F1D2E">
            <w:pPr>
              <w:jc w:val="center"/>
              <w:rPr>
                <w:rFonts w:hint="eastAsia" w:ascii="宋体" w:hAnsi="宋体" w:eastAsia="宋体" w:cs="宋体"/>
                <w:i w:val="0"/>
                <w:iCs w:val="0"/>
                <w:color w:val="000000"/>
                <w:sz w:val="15"/>
                <w:szCs w:val="15"/>
                <w:u w:val="none"/>
              </w:rPr>
            </w:pPr>
          </w:p>
        </w:tc>
        <w:tc>
          <w:tcPr>
            <w:tcW w:w="344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35D19F">
            <w:pPr>
              <w:jc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sz w:val="16"/>
                <w:szCs w:val="16"/>
                <w:u w:val="none"/>
              </w:rPr>
              <w:t>公共通识选修课小计</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70E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93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136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4F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136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2B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31C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28B13">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9B93">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BD6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1EDD3">
            <w:pPr>
              <w:jc w:val="center"/>
              <w:rPr>
                <w:rFonts w:hint="default" w:ascii="Arial" w:hAnsi="Arial" w:cs="Arial"/>
                <w:b/>
                <w:bCs/>
                <w:i w:val="0"/>
                <w:iCs w:val="0"/>
                <w:color w:val="000000"/>
                <w:sz w:val="15"/>
                <w:szCs w:val="15"/>
                <w:u w:val="none"/>
              </w:rPr>
            </w:pPr>
          </w:p>
        </w:tc>
      </w:tr>
      <w:tr w14:paraId="79074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0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DC1539">
            <w:pPr>
              <w:jc w:val="center"/>
              <w:rPr>
                <w:rFonts w:ascii="宋体" w:hAnsi="宋体" w:eastAsia="宋体" w:cs="宋体"/>
                <w:b/>
                <w:bCs/>
                <w:i w:val="0"/>
                <w:iCs w:val="0"/>
                <w:snapToGrid w:val="0"/>
                <w:color w:val="000000"/>
                <w:kern w:val="0"/>
                <w:sz w:val="16"/>
                <w:szCs w:val="16"/>
                <w:u w:val="none"/>
                <w:lang w:val="en-US" w:eastAsia="zh-CN" w:bidi="ar"/>
              </w:rPr>
            </w:pPr>
            <w:r>
              <w:rPr>
                <w:rFonts w:ascii="宋体" w:hAnsi="宋体" w:eastAsia="宋体" w:cs="宋体"/>
                <w:b/>
                <w:bCs/>
                <w:i w:val="0"/>
                <w:iCs w:val="0"/>
                <w:snapToGrid w:val="0"/>
                <w:color w:val="000000"/>
                <w:kern w:val="0"/>
                <w:sz w:val="16"/>
                <w:szCs w:val="16"/>
                <w:u w:val="none"/>
                <w:lang w:val="en-US" w:eastAsia="zh-CN" w:bidi="ar"/>
              </w:rPr>
              <w:t>公共课合计</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88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58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4C8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962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64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566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A2E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396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9F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F8EB">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BBFC">
            <w:pPr>
              <w:keepNext w:val="0"/>
              <w:keepLines w:val="0"/>
              <w:widowControl/>
              <w:suppressLineNumbers w:val="0"/>
              <w:jc w:val="center"/>
              <w:textAlignment w:val="center"/>
              <w:rPr>
                <w:rFonts w:hint="default" w:ascii="宋体" w:hAnsi="宋体" w:eastAsia="宋体" w:cs="宋体"/>
                <w:i w:val="0"/>
                <w:iCs w:val="0"/>
                <w:color w:val="000000"/>
                <w:sz w:val="16"/>
                <w:szCs w:val="16"/>
                <w:u w:val="none"/>
                <w:lang w:val="en-US"/>
              </w:rPr>
            </w:pPr>
            <w:r>
              <w:rPr>
                <w:rFonts w:hint="eastAsia" w:ascii="宋体" w:hAnsi="宋体" w:eastAsia="宋体" w:cs="宋体"/>
                <w:b/>
                <w:bCs/>
                <w:i w:val="0"/>
                <w:iCs w:val="0"/>
                <w:snapToGrid w:val="0"/>
                <w:color w:val="000000"/>
                <w:kern w:val="0"/>
                <w:sz w:val="16"/>
                <w:szCs w:val="16"/>
                <w:u w:val="none"/>
                <w:lang w:val="en-US" w:eastAsia="zh-CN" w:bidi="ar"/>
              </w:rPr>
              <w:t>11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1F3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1</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6E4C5">
            <w:pPr>
              <w:jc w:val="center"/>
              <w:rPr>
                <w:rFonts w:hint="default" w:ascii="Arial" w:hAnsi="Arial" w:cs="Arial"/>
                <w:b/>
                <w:bCs/>
                <w:i w:val="0"/>
                <w:iCs w:val="0"/>
                <w:color w:val="000000"/>
                <w:sz w:val="15"/>
                <w:szCs w:val="15"/>
                <w:u w:val="none"/>
              </w:rPr>
            </w:pPr>
          </w:p>
        </w:tc>
      </w:tr>
      <w:tr w14:paraId="056A7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BBC20F">
            <w:pPr>
              <w:keepNext w:val="0"/>
              <w:keepLines w:val="0"/>
              <w:widowControl/>
              <w:suppressLineNumbers w:val="0"/>
              <w:jc w:val="center"/>
              <w:textAlignment w:val="center"/>
              <w:rPr>
                <w:rFonts w:ascii="宋体" w:hAnsi="宋体" w:eastAsia="宋体" w:cs="宋体"/>
                <w:b/>
                <w:bCs/>
                <w:i w:val="0"/>
                <w:iCs w:val="0"/>
                <w:snapToGrid w:val="0"/>
                <w:color w:val="000000"/>
                <w:kern w:val="0"/>
                <w:sz w:val="15"/>
                <w:szCs w:val="15"/>
                <w:u w:val="none"/>
                <w:lang w:val="en-US" w:eastAsia="zh-CN" w:bidi="ar"/>
              </w:rPr>
            </w:pPr>
            <w:r>
              <w:rPr>
                <w:rFonts w:ascii="宋体" w:hAnsi="宋体" w:eastAsia="宋体" w:cs="宋体"/>
                <w:b/>
                <w:bCs/>
                <w:i w:val="0"/>
                <w:iCs w:val="0"/>
                <w:snapToGrid w:val="0"/>
                <w:color w:val="000000"/>
                <w:kern w:val="0"/>
                <w:sz w:val="15"/>
                <w:szCs w:val="15"/>
                <w:u w:val="none"/>
                <w:lang w:val="en-US" w:eastAsia="zh-CN" w:bidi="ar"/>
              </w:rPr>
              <w:t>专业</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基础</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课程</w:t>
            </w:r>
          </w:p>
          <w:p w14:paraId="120FD30F">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15"/>
                <w:szCs w:val="15"/>
                <w:u w:val="none"/>
                <w:lang w:val="en-US" w:eastAsia="zh-CN" w:bidi="ar"/>
              </w:rPr>
            </w:pPr>
          </w:p>
          <w:p w14:paraId="03268F40">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15"/>
                <w:szCs w:val="15"/>
                <w:u w:val="none"/>
                <w:lang w:val="en-US" w:eastAsia="zh-CN" w:bidi="ar"/>
              </w:rPr>
            </w:pPr>
            <w:r>
              <w:rPr>
                <w:rFonts w:hint="eastAsia" w:ascii="宋体" w:hAnsi="宋体" w:eastAsia="宋体" w:cs="宋体"/>
                <w:b/>
                <w:bCs/>
                <w:i w:val="0"/>
                <w:iCs w:val="0"/>
                <w:snapToGrid w:val="0"/>
                <w:color w:val="000000"/>
                <w:kern w:val="0"/>
                <w:sz w:val="15"/>
                <w:szCs w:val="15"/>
                <w:u w:val="none"/>
                <w:lang w:val="en-US" w:eastAsia="zh-CN" w:bidi="ar"/>
              </w:rPr>
              <w:t>必修</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20EB">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人体解剖生理学</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4EA5">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EEF2">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58FF">
            <w:pPr>
              <w:jc w:val="center"/>
              <w:rPr>
                <w:rFonts w:hint="eastAsia" w:ascii="Arial" w:hAnsi="Arial" w:eastAsia="黑体" w:cs="Arial"/>
                <w:i w:val="0"/>
                <w:iCs w:val="0"/>
                <w:color w:val="000000"/>
                <w:sz w:val="15"/>
                <w:szCs w:val="15"/>
                <w:u w:val="none"/>
                <w:lang w:val="en-US" w:eastAsia="zh-CN"/>
              </w:rPr>
            </w:pPr>
            <w:r>
              <w:rPr>
                <w:rFonts w:hint="eastAsia" w:cs="Arial"/>
                <w:i w:val="0"/>
                <w:iCs w:val="0"/>
                <w:color w:val="000000"/>
                <w:sz w:val="15"/>
                <w:szCs w:val="15"/>
                <w:u w:val="none"/>
                <w:lang w:val="en-US" w:eastAsia="zh-CN"/>
              </w:rPr>
              <w:t>基础医学院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FC541">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C6F1">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64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AF14">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8EE8A">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2F222">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32AFA">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79E3B">
            <w:pPr>
              <w:jc w:val="center"/>
              <w:rPr>
                <w:rFonts w:hint="default" w:ascii="Arial" w:hAnsi="Arial" w:cs="Arial"/>
                <w:i w:val="0"/>
                <w:iCs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89B68">
            <w:pPr>
              <w:jc w:val="center"/>
              <w:rPr>
                <w:rFonts w:hint="default" w:ascii="Arial" w:hAnsi="Arial" w:cs="Arial"/>
                <w:i w:val="0"/>
                <w:iCs w:val="0"/>
                <w:color w:val="000000"/>
                <w:sz w:val="15"/>
                <w:szCs w:val="15"/>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EAD91">
            <w:pPr>
              <w:jc w:val="center"/>
              <w:rPr>
                <w:rFonts w:hint="default" w:ascii="Arial" w:hAnsi="Arial" w:cs="Arial"/>
                <w:b/>
                <w:bCs/>
                <w:i w:val="0"/>
                <w:iCs w:val="0"/>
                <w:color w:val="000000"/>
                <w:sz w:val="15"/>
                <w:szCs w:val="15"/>
                <w:u w:val="none"/>
              </w:rPr>
            </w:pPr>
          </w:p>
        </w:tc>
      </w:tr>
      <w:tr w14:paraId="1A13E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F0042">
            <w:pPr>
              <w:jc w:val="center"/>
              <w:rPr>
                <w:rFonts w:hint="eastAsia" w:ascii="宋体" w:hAnsi="宋体" w:eastAsia="宋体" w:cs="宋体"/>
                <w:b/>
                <w:bCs/>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E69DD">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病原生物与免疫学</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E95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1769">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6CBC4">
            <w:pPr>
              <w:jc w:val="center"/>
              <w:rPr>
                <w:rFonts w:hint="default" w:ascii="Arial" w:hAnsi="Arial" w:cs="Arial"/>
                <w:i w:val="0"/>
                <w:iCs w:val="0"/>
                <w:color w:val="000000"/>
                <w:sz w:val="15"/>
                <w:szCs w:val="15"/>
                <w:u w:val="none"/>
              </w:rPr>
            </w:pPr>
            <w:r>
              <w:rPr>
                <w:rFonts w:hint="eastAsia" w:cs="Arial"/>
                <w:i w:val="0"/>
                <w:iCs w:val="0"/>
                <w:color w:val="000000"/>
                <w:sz w:val="15"/>
                <w:szCs w:val="15"/>
                <w:u w:val="none"/>
                <w:lang w:val="en-US" w:eastAsia="zh-CN"/>
              </w:rPr>
              <w:t>基础医学院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5B6CB">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5A766">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9EC4">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A68E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78356">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67D4">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EFDF5">
            <w:pPr>
              <w:jc w:val="center"/>
              <w:rPr>
                <w:rFonts w:hint="default" w:ascii="Arial" w:hAnsi="Arial" w:cs="Arial"/>
                <w:i w:val="0"/>
                <w:iCs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583B">
            <w:pPr>
              <w:jc w:val="center"/>
              <w:rPr>
                <w:rFonts w:hint="default" w:ascii="Arial" w:hAnsi="Arial" w:cs="Arial"/>
                <w:i w:val="0"/>
                <w:iCs w:val="0"/>
                <w:color w:val="000000"/>
                <w:sz w:val="15"/>
                <w:szCs w:val="15"/>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F6943E">
            <w:pPr>
              <w:jc w:val="center"/>
              <w:rPr>
                <w:rFonts w:hint="default" w:ascii="Arial" w:hAnsi="Arial" w:cs="Arial"/>
                <w:b/>
                <w:bCs/>
                <w:i w:val="0"/>
                <w:iCs w:val="0"/>
                <w:color w:val="000000"/>
                <w:sz w:val="15"/>
                <w:szCs w:val="15"/>
                <w:u w:val="none"/>
              </w:rPr>
            </w:pPr>
          </w:p>
        </w:tc>
      </w:tr>
      <w:tr w14:paraId="21078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F13A3">
            <w:pPr>
              <w:jc w:val="center"/>
              <w:rPr>
                <w:rFonts w:hint="eastAsia" w:ascii="宋体" w:hAnsi="宋体" w:eastAsia="宋体" w:cs="宋体"/>
                <w:b/>
                <w:bCs/>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807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临床医学概论</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897F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0578">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7621">
            <w:pPr>
              <w:jc w:val="center"/>
              <w:rPr>
                <w:rFonts w:hint="default" w:ascii="Arial" w:hAnsi="Arial" w:eastAsia="黑体" w:cs="Arial"/>
                <w:i w:val="0"/>
                <w:iCs w:val="0"/>
                <w:color w:val="000000"/>
                <w:sz w:val="15"/>
                <w:szCs w:val="15"/>
                <w:u w:val="none"/>
                <w:lang w:val="en-US" w:eastAsia="zh-CN"/>
              </w:rPr>
            </w:pPr>
            <w:r>
              <w:rPr>
                <w:rFonts w:hint="eastAsia" w:cs="Arial"/>
                <w:i w:val="0"/>
                <w:iCs w:val="0"/>
                <w:color w:val="000000"/>
                <w:sz w:val="15"/>
                <w:szCs w:val="15"/>
                <w:u w:val="none"/>
                <w:lang w:val="en-US" w:eastAsia="zh-CN"/>
              </w:rPr>
              <w:t>临床医学院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573A">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7304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64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7FF88">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BA8B4">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0239">
            <w:pPr>
              <w:jc w:val="center"/>
              <w:rPr>
                <w:rFonts w:hint="default" w:ascii="Arial" w:hAnsi="Arial" w:cs="Arial"/>
                <w:i w:val="0"/>
                <w:iCs w:val="0"/>
                <w:color w:val="000000"/>
                <w:sz w:val="15"/>
                <w:szCs w:val="15"/>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2E5A">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8695B">
            <w:pPr>
              <w:jc w:val="center"/>
              <w:rPr>
                <w:rFonts w:hint="default" w:ascii="Arial" w:hAnsi="Arial" w:cs="Arial"/>
                <w:i w:val="0"/>
                <w:iCs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B8BE">
            <w:pPr>
              <w:jc w:val="center"/>
              <w:rPr>
                <w:rFonts w:hint="default" w:ascii="Arial" w:hAnsi="Arial" w:cs="Arial"/>
                <w:i w:val="0"/>
                <w:iCs w:val="0"/>
                <w:color w:val="000000"/>
                <w:sz w:val="15"/>
                <w:szCs w:val="15"/>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95322">
            <w:pPr>
              <w:jc w:val="center"/>
              <w:rPr>
                <w:rFonts w:hint="default" w:ascii="Arial" w:hAnsi="Arial" w:cs="Arial"/>
                <w:b/>
                <w:bCs/>
                <w:i w:val="0"/>
                <w:iCs w:val="0"/>
                <w:color w:val="000000"/>
                <w:sz w:val="15"/>
                <w:szCs w:val="15"/>
                <w:u w:val="none"/>
              </w:rPr>
            </w:pPr>
          </w:p>
        </w:tc>
      </w:tr>
      <w:tr w14:paraId="3260C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57BD1">
            <w:pPr>
              <w:jc w:val="center"/>
              <w:rPr>
                <w:rFonts w:hint="eastAsia" w:ascii="宋体" w:hAnsi="宋体" w:eastAsia="宋体" w:cs="宋体"/>
                <w:b/>
                <w:bCs/>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7BBE">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口腔基础医学概要</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112C">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9864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5E4DD">
            <w:pPr>
              <w:keepNext w:val="0"/>
              <w:keepLines w:val="0"/>
              <w:widowControl/>
              <w:suppressLineNumbers w:val="0"/>
              <w:jc w:val="center"/>
              <w:textAlignment w:val="center"/>
              <w:rPr>
                <w:rFonts w:hint="default" w:ascii="Arial" w:hAnsi="Arial" w:eastAsia="黑体" w:cs="Arial"/>
                <w:i w:val="0"/>
                <w:iCs w:val="0"/>
                <w:color w:val="000000"/>
                <w:sz w:val="15"/>
                <w:szCs w:val="15"/>
                <w:u w:val="none"/>
                <w:lang w:val="en-US" w:eastAsia="zh-CN"/>
              </w:rPr>
            </w:pPr>
            <w:r>
              <w:rPr>
                <w:rFonts w:hint="eastAsia" w:ascii="宋体" w:hAnsi="宋体" w:eastAsia="宋体" w:cs="宋体"/>
                <w:b/>
                <w:bCs/>
                <w:i w:val="0"/>
                <w:iCs w:val="0"/>
                <w:snapToGrid w:val="0"/>
                <w:color w:val="000000"/>
                <w:kern w:val="0"/>
                <w:sz w:val="15"/>
                <w:szCs w:val="15"/>
                <w:u w:val="none"/>
                <w:lang w:val="en-US" w:eastAsia="zh-CN" w:bidi="ar"/>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975C">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55C58">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192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CC5D">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96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CA4D">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96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78BE">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6</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9FEA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526F">
            <w:pPr>
              <w:jc w:val="center"/>
              <w:rPr>
                <w:rFonts w:hint="default" w:ascii="Arial" w:hAnsi="Arial" w:cs="Arial"/>
                <w:i w:val="0"/>
                <w:iCs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F200">
            <w:pPr>
              <w:jc w:val="center"/>
              <w:rPr>
                <w:rFonts w:hint="default" w:ascii="Arial" w:hAnsi="Arial" w:cs="Arial"/>
                <w:i w:val="0"/>
                <w:iCs w:val="0"/>
                <w:color w:val="000000"/>
                <w:sz w:val="15"/>
                <w:szCs w:val="15"/>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B9606">
            <w:pPr>
              <w:jc w:val="center"/>
              <w:rPr>
                <w:rFonts w:hint="default" w:ascii="Arial" w:hAnsi="Arial" w:cs="Arial"/>
                <w:b/>
                <w:bCs/>
                <w:i w:val="0"/>
                <w:iCs w:val="0"/>
                <w:color w:val="000000"/>
                <w:sz w:val="15"/>
                <w:szCs w:val="15"/>
                <w:u w:val="none"/>
              </w:rPr>
            </w:pPr>
          </w:p>
        </w:tc>
      </w:tr>
      <w:tr w14:paraId="48598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63B09">
            <w:pPr>
              <w:jc w:val="center"/>
              <w:rPr>
                <w:rFonts w:hint="eastAsia" w:ascii="宋体" w:hAnsi="宋体" w:eastAsia="宋体" w:cs="宋体"/>
                <w:b/>
                <w:bCs/>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03F6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美学基础</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87F0">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93C88">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29C10">
            <w:pPr>
              <w:keepNext w:val="0"/>
              <w:keepLines w:val="0"/>
              <w:widowControl/>
              <w:suppressLineNumbers w:val="0"/>
              <w:jc w:val="center"/>
              <w:textAlignment w:val="center"/>
              <w:rPr>
                <w:rFonts w:hint="default" w:ascii="Arial" w:hAnsi="Arial" w:eastAsia="黑体" w:cs="Arial"/>
                <w:i w:val="0"/>
                <w:iCs w:val="0"/>
                <w:color w:val="000000"/>
                <w:sz w:val="15"/>
                <w:szCs w:val="15"/>
                <w:u w:val="none"/>
                <w:lang w:val="en-US" w:eastAsia="zh-CN"/>
              </w:rPr>
            </w:pPr>
            <w:r>
              <w:rPr>
                <w:rFonts w:hint="eastAsia" w:ascii="宋体" w:hAnsi="宋体" w:eastAsia="宋体" w:cs="宋体"/>
                <w:b/>
                <w:bCs/>
                <w:i w:val="0"/>
                <w:iCs w:val="0"/>
                <w:snapToGrid w:val="0"/>
                <w:color w:val="000000"/>
                <w:kern w:val="0"/>
                <w:sz w:val="15"/>
                <w:szCs w:val="15"/>
                <w:u w:val="none"/>
                <w:lang w:val="en-US" w:eastAsia="zh-CN" w:bidi="ar"/>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9777">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449B">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3DE4">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2527">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BB6C">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195B">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BAA9">
            <w:pPr>
              <w:jc w:val="center"/>
              <w:rPr>
                <w:rFonts w:hint="default" w:ascii="Arial" w:hAnsi="Arial" w:cs="Arial"/>
                <w:i w:val="0"/>
                <w:iCs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E8959">
            <w:pPr>
              <w:jc w:val="center"/>
              <w:rPr>
                <w:rFonts w:hint="default" w:ascii="Arial" w:hAnsi="Arial" w:cs="Arial"/>
                <w:i w:val="0"/>
                <w:iCs w:val="0"/>
                <w:color w:val="000000"/>
                <w:sz w:val="15"/>
                <w:szCs w:val="15"/>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FB8946">
            <w:pPr>
              <w:jc w:val="center"/>
              <w:rPr>
                <w:rFonts w:hint="default" w:ascii="Arial" w:hAnsi="Arial" w:cs="Arial"/>
                <w:b/>
                <w:bCs/>
                <w:i w:val="0"/>
                <w:iCs w:val="0"/>
                <w:color w:val="000000"/>
                <w:sz w:val="15"/>
                <w:szCs w:val="15"/>
                <w:u w:val="none"/>
              </w:rPr>
            </w:pPr>
          </w:p>
        </w:tc>
      </w:tr>
      <w:tr w14:paraId="5A65E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721B5">
            <w:pPr>
              <w:jc w:val="center"/>
              <w:rPr>
                <w:rFonts w:hint="eastAsia" w:ascii="宋体" w:hAnsi="宋体" w:eastAsia="宋体" w:cs="宋体"/>
                <w:b/>
                <w:bCs/>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858D8">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口腔修复工艺材料学</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306D">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29BD">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70CDE">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B588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BC92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6454">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0DB4">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97308">
            <w:pPr>
              <w:jc w:val="center"/>
              <w:rPr>
                <w:rFonts w:hint="default" w:ascii="Arial" w:hAnsi="Arial" w:cs="Arial"/>
                <w:i w:val="0"/>
                <w:iCs w:val="0"/>
                <w:color w:val="000000"/>
                <w:sz w:val="15"/>
                <w:szCs w:val="15"/>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B7CD">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9263">
            <w:pPr>
              <w:jc w:val="center"/>
              <w:rPr>
                <w:rFonts w:hint="default" w:ascii="Arial" w:hAnsi="Arial" w:cs="Arial"/>
                <w:i w:val="0"/>
                <w:iCs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47F2D">
            <w:pPr>
              <w:jc w:val="center"/>
              <w:rPr>
                <w:rFonts w:hint="default" w:ascii="Arial" w:hAnsi="Arial" w:cs="Arial"/>
                <w:i w:val="0"/>
                <w:iCs w:val="0"/>
                <w:color w:val="000000"/>
                <w:sz w:val="15"/>
                <w:szCs w:val="15"/>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6A615A">
            <w:pPr>
              <w:jc w:val="center"/>
              <w:rPr>
                <w:rFonts w:hint="default" w:ascii="Arial" w:hAnsi="Arial" w:cs="Arial"/>
                <w:b/>
                <w:bCs/>
                <w:i w:val="0"/>
                <w:iCs w:val="0"/>
                <w:color w:val="000000"/>
                <w:sz w:val="15"/>
                <w:szCs w:val="15"/>
                <w:u w:val="none"/>
              </w:rPr>
            </w:pPr>
          </w:p>
        </w:tc>
      </w:tr>
      <w:tr w14:paraId="33D9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5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179CB">
            <w:pPr>
              <w:jc w:val="center"/>
              <w:rPr>
                <w:rFonts w:hint="eastAsia" w:ascii="宋体" w:hAnsi="宋体" w:eastAsia="宋体" w:cs="宋体"/>
                <w:b/>
                <w:bCs/>
                <w:i w:val="0"/>
                <w:iCs w:val="0"/>
                <w:color w:val="000000"/>
                <w:sz w:val="15"/>
                <w:szCs w:val="15"/>
                <w:u w:val="none"/>
              </w:rPr>
            </w:pPr>
          </w:p>
        </w:tc>
        <w:tc>
          <w:tcPr>
            <w:tcW w:w="1496" w:type="dxa"/>
            <w:tcBorders>
              <w:top w:val="single" w:color="000000" w:sz="4" w:space="0"/>
              <w:left w:val="single" w:color="000000" w:sz="4" w:space="0"/>
              <w:right w:val="single" w:color="000000" w:sz="4" w:space="0"/>
            </w:tcBorders>
            <w:shd w:val="clear" w:color="auto" w:fill="auto"/>
            <w:vAlign w:val="center"/>
          </w:tcPr>
          <w:p w14:paraId="6A7381C4">
            <w:pPr>
              <w:jc w:val="center"/>
              <w:rPr>
                <w:rFonts w:hint="eastAsia" w:ascii="Arial" w:hAnsi="Arial" w:eastAsia="黑体" w:cs="Arial"/>
                <w:i w:val="0"/>
                <w:iCs w:val="0"/>
                <w:color w:val="000000"/>
                <w:sz w:val="15"/>
                <w:szCs w:val="15"/>
                <w:u w:val="none"/>
                <w:lang w:eastAsia="zh-CN"/>
              </w:rPr>
            </w:pPr>
            <w:r>
              <w:rPr>
                <w:rFonts w:hint="eastAsia" w:cs="Arial"/>
                <w:i w:val="0"/>
                <w:iCs w:val="0"/>
                <w:color w:val="000000"/>
                <w:sz w:val="15"/>
                <w:szCs w:val="15"/>
                <w:u w:val="none"/>
                <w:lang w:eastAsia="zh-CN"/>
              </w:rPr>
              <w:t>专业基础课小计</w:t>
            </w:r>
          </w:p>
        </w:tc>
        <w:tc>
          <w:tcPr>
            <w:tcW w:w="640" w:type="dxa"/>
            <w:tcBorders>
              <w:top w:val="single" w:color="000000" w:sz="4" w:space="0"/>
              <w:left w:val="single" w:color="000000" w:sz="4" w:space="0"/>
              <w:right w:val="single" w:color="000000" w:sz="4" w:space="0"/>
            </w:tcBorders>
            <w:shd w:val="clear" w:color="auto" w:fill="auto"/>
            <w:vAlign w:val="top"/>
          </w:tcPr>
          <w:p w14:paraId="19776BB6">
            <w:pPr>
              <w:jc w:val="center"/>
              <w:rPr>
                <w:rFonts w:hint="default" w:ascii="Arial" w:hAnsi="Arial" w:cs="Arial"/>
                <w:i w:val="0"/>
                <w:iCs w:val="0"/>
                <w:color w:val="000000"/>
                <w:sz w:val="15"/>
                <w:szCs w:val="15"/>
                <w:u w:val="none"/>
              </w:rPr>
            </w:pPr>
          </w:p>
        </w:tc>
        <w:tc>
          <w:tcPr>
            <w:tcW w:w="585" w:type="dxa"/>
            <w:tcBorders>
              <w:top w:val="single" w:color="000000" w:sz="4" w:space="0"/>
              <w:left w:val="single" w:color="000000" w:sz="4" w:space="0"/>
              <w:right w:val="single" w:color="000000" w:sz="4" w:space="0"/>
            </w:tcBorders>
            <w:shd w:val="clear" w:color="auto" w:fill="auto"/>
            <w:vAlign w:val="center"/>
          </w:tcPr>
          <w:p w14:paraId="0A84A8AB">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right w:val="single" w:color="000000" w:sz="4" w:space="0"/>
            </w:tcBorders>
            <w:shd w:val="clear" w:color="auto" w:fill="auto"/>
            <w:vAlign w:val="center"/>
          </w:tcPr>
          <w:p w14:paraId="6E4E2EE2">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right w:val="single" w:color="000000" w:sz="4" w:space="0"/>
            </w:tcBorders>
            <w:shd w:val="clear" w:color="auto" w:fill="auto"/>
            <w:vAlign w:val="center"/>
          </w:tcPr>
          <w:p w14:paraId="5F4D04C4">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26</w:t>
            </w:r>
          </w:p>
        </w:tc>
        <w:tc>
          <w:tcPr>
            <w:tcW w:w="690" w:type="dxa"/>
            <w:tcBorders>
              <w:top w:val="single" w:color="000000" w:sz="4" w:space="0"/>
              <w:left w:val="single" w:color="000000" w:sz="4" w:space="0"/>
              <w:right w:val="single" w:color="000000" w:sz="4" w:space="0"/>
            </w:tcBorders>
            <w:shd w:val="clear" w:color="auto" w:fill="auto"/>
            <w:vAlign w:val="center"/>
          </w:tcPr>
          <w:p w14:paraId="1893E92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416</w:t>
            </w:r>
          </w:p>
        </w:tc>
        <w:tc>
          <w:tcPr>
            <w:tcW w:w="690" w:type="dxa"/>
            <w:tcBorders>
              <w:top w:val="single" w:color="000000" w:sz="4" w:space="0"/>
              <w:left w:val="single" w:color="000000" w:sz="4" w:space="0"/>
              <w:right w:val="single" w:color="000000" w:sz="4" w:space="0"/>
            </w:tcBorders>
            <w:shd w:val="clear" w:color="auto" w:fill="auto"/>
            <w:vAlign w:val="center"/>
          </w:tcPr>
          <w:p w14:paraId="30F957BE">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264</w:t>
            </w:r>
          </w:p>
        </w:tc>
        <w:tc>
          <w:tcPr>
            <w:tcW w:w="690" w:type="dxa"/>
            <w:tcBorders>
              <w:top w:val="single" w:color="000000" w:sz="4" w:space="0"/>
              <w:left w:val="single" w:color="000000" w:sz="4" w:space="0"/>
              <w:right w:val="single" w:color="000000" w:sz="4" w:space="0"/>
            </w:tcBorders>
            <w:shd w:val="clear" w:color="auto" w:fill="auto"/>
            <w:vAlign w:val="center"/>
          </w:tcPr>
          <w:p w14:paraId="1E194186">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152</w:t>
            </w:r>
          </w:p>
        </w:tc>
        <w:tc>
          <w:tcPr>
            <w:tcW w:w="705" w:type="dxa"/>
            <w:tcBorders>
              <w:top w:val="single" w:color="000000" w:sz="4" w:space="0"/>
              <w:left w:val="single" w:color="000000" w:sz="4" w:space="0"/>
              <w:right w:val="single" w:color="000000" w:sz="4" w:space="0"/>
            </w:tcBorders>
            <w:shd w:val="clear" w:color="auto" w:fill="auto"/>
            <w:vAlign w:val="center"/>
          </w:tcPr>
          <w:p w14:paraId="524D98C1">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14</w:t>
            </w:r>
          </w:p>
        </w:tc>
        <w:tc>
          <w:tcPr>
            <w:tcW w:w="735" w:type="dxa"/>
            <w:tcBorders>
              <w:top w:val="single" w:color="000000" w:sz="4" w:space="0"/>
              <w:left w:val="single" w:color="000000" w:sz="4" w:space="0"/>
              <w:right w:val="single" w:color="000000" w:sz="4" w:space="0"/>
            </w:tcBorders>
            <w:shd w:val="clear" w:color="auto" w:fill="auto"/>
            <w:vAlign w:val="center"/>
          </w:tcPr>
          <w:p w14:paraId="17AA6256">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12</w:t>
            </w:r>
          </w:p>
        </w:tc>
        <w:tc>
          <w:tcPr>
            <w:tcW w:w="720" w:type="dxa"/>
            <w:tcBorders>
              <w:top w:val="single" w:color="000000" w:sz="4" w:space="0"/>
              <w:left w:val="single" w:color="000000" w:sz="4" w:space="0"/>
              <w:right w:val="single" w:color="000000" w:sz="4" w:space="0"/>
            </w:tcBorders>
            <w:shd w:val="clear" w:color="auto" w:fill="auto"/>
            <w:vAlign w:val="center"/>
          </w:tcPr>
          <w:p w14:paraId="76802250">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8514">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0</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FD44E">
            <w:pPr>
              <w:jc w:val="center"/>
              <w:rPr>
                <w:rFonts w:hint="default" w:ascii="Arial" w:hAnsi="Arial" w:cs="Arial"/>
                <w:b/>
                <w:bCs/>
                <w:i w:val="0"/>
                <w:iCs w:val="0"/>
                <w:color w:val="000000"/>
                <w:sz w:val="15"/>
                <w:szCs w:val="15"/>
                <w:u w:val="none"/>
              </w:rPr>
            </w:pPr>
          </w:p>
        </w:tc>
      </w:tr>
      <w:tr w14:paraId="117B7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restart"/>
            <w:tcBorders>
              <w:top w:val="single" w:color="000000" w:sz="4" w:space="0"/>
              <w:left w:val="single" w:color="000000" w:sz="4" w:space="0"/>
              <w:bottom w:val="nil"/>
              <w:right w:val="single" w:color="000000" w:sz="4" w:space="0"/>
            </w:tcBorders>
            <w:shd w:val="clear" w:color="auto" w:fill="auto"/>
            <w:vAlign w:val="center"/>
          </w:tcPr>
          <w:p w14:paraId="60D7AC65">
            <w:pPr>
              <w:keepNext w:val="0"/>
              <w:keepLines w:val="0"/>
              <w:widowControl/>
              <w:suppressLineNumbers w:val="0"/>
              <w:jc w:val="center"/>
              <w:textAlignment w:val="center"/>
              <w:rPr>
                <w:rFonts w:ascii="宋体" w:hAnsi="宋体" w:eastAsia="宋体" w:cs="宋体"/>
                <w:b/>
                <w:bCs/>
                <w:i w:val="0"/>
                <w:iCs w:val="0"/>
                <w:snapToGrid w:val="0"/>
                <w:color w:val="000000"/>
                <w:kern w:val="0"/>
                <w:sz w:val="15"/>
                <w:szCs w:val="15"/>
                <w:u w:val="none"/>
                <w:lang w:val="en-US" w:eastAsia="zh-CN" w:bidi="ar"/>
              </w:rPr>
            </w:pPr>
            <w:r>
              <w:rPr>
                <w:rFonts w:ascii="宋体" w:hAnsi="宋体" w:eastAsia="宋体" w:cs="宋体"/>
                <w:b/>
                <w:bCs/>
                <w:i w:val="0"/>
                <w:iCs w:val="0"/>
                <w:snapToGrid w:val="0"/>
                <w:color w:val="000000"/>
                <w:kern w:val="0"/>
                <w:sz w:val="15"/>
                <w:szCs w:val="15"/>
                <w:u w:val="none"/>
                <w:lang w:val="en-US" w:eastAsia="zh-CN" w:bidi="ar"/>
              </w:rPr>
              <w:t>专业</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核心</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课程</w:t>
            </w:r>
          </w:p>
          <w:p w14:paraId="1784236D">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15"/>
                <w:szCs w:val="15"/>
                <w:u w:val="none"/>
                <w:lang w:val="en-US" w:eastAsia="zh-CN" w:bidi="ar"/>
              </w:rPr>
            </w:pPr>
            <w:r>
              <w:rPr>
                <w:rFonts w:hint="eastAsia" w:ascii="宋体" w:hAnsi="宋体" w:eastAsia="宋体" w:cs="宋体"/>
                <w:b/>
                <w:bCs/>
                <w:i w:val="0"/>
                <w:iCs w:val="0"/>
                <w:snapToGrid w:val="0"/>
                <w:color w:val="000000"/>
                <w:kern w:val="0"/>
                <w:sz w:val="15"/>
                <w:szCs w:val="15"/>
                <w:u w:val="none"/>
                <w:lang w:val="en-US" w:eastAsia="zh-CN" w:bidi="ar"/>
              </w:rPr>
              <w:t>必修</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647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口腔疾病概要</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8DD5">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7BA1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6CCD">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F9BC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F1B2">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96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23E2">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64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C204A">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F8F3">
            <w:pPr>
              <w:jc w:val="center"/>
              <w:rPr>
                <w:rFonts w:hint="default" w:ascii="Arial" w:hAnsi="Arial" w:cs="Arial"/>
                <w:i w:val="0"/>
                <w:iCs w:val="0"/>
                <w:color w:val="000000"/>
                <w:sz w:val="15"/>
                <w:szCs w:val="15"/>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70FDE">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CA1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2627">
            <w:pPr>
              <w:jc w:val="center"/>
              <w:rPr>
                <w:rFonts w:hint="default" w:ascii="Arial" w:hAnsi="Arial" w:cs="Arial"/>
                <w:i w:val="0"/>
                <w:iCs w:val="0"/>
                <w:color w:val="000000"/>
                <w:sz w:val="15"/>
                <w:szCs w:val="15"/>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71B71">
            <w:pPr>
              <w:jc w:val="center"/>
              <w:rPr>
                <w:rFonts w:hint="default" w:ascii="Arial" w:hAnsi="Arial" w:cs="Arial"/>
                <w:b/>
                <w:bCs/>
                <w:i w:val="0"/>
                <w:iCs w:val="0"/>
                <w:color w:val="000000"/>
                <w:sz w:val="15"/>
                <w:szCs w:val="15"/>
                <w:u w:val="none"/>
              </w:rPr>
            </w:pPr>
          </w:p>
        </w:tc>
      </w:tr>
      <w:tr w14:paraId="011A3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nil"/>
              <w:right w:val="single" w:color="000000" w:sz="4" w:space="0"/>
            </w:tcBorders>
            <w:shd w:val="clear" w:color="auto" w:fill="auto"/>
            <w:vAlign w:val="center"/>
          </w:tcPr>
          <w:p w14:paraId="4AF5BE6E">
            <w:pPr>
              <w:jc w:val="center"/>
              <w:rPr>
                <w:rFonts w:hint="eastAsia" w:ascii="宋体" w:hAnsi="宋体" w:eastAsia="宋体" w:cs="宋体"/>
                <w:b/>
                <w:bCs/>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1368">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口腔固定修复工艺技术</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AB84">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638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599C5">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4CB1">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5DDC">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128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1165">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60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014EA">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68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E33E">
            <w:pPr>
              <w:jc w:val="center"/>
              <w:rPr>
                <w:rFonts w:hint="default" w:ascii="Arial" w:hAnsi="Arial" w:cs="Arial"/>
                <w:i w:val="0"/>
                <w:iCs w:val="0"/>
                <w:color w:val="000000"/>
                <w:sz w:val="15"/>
                <w:szCs w:val="15"/>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D9FE">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50D4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8853C">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09B06">
            <w:pPr>
              <w:jc w:val="center"/>
              <w:rPr>
                <w:rFonts w:hint="default" w:ascii="Arial" w:hAnsi="Arial" w:cs="Arial"/>
                <w:b/>
                <w:bCs/>
                <w:i w:val="0"/>
                <w:iCs w:val="0"/>
                <w:color w:val="000000"/>
                <w:sz w:val="15"/>
                <w:szCs w:val="15"/>
                <w:u w:val="none"/>
              </w:rPr>
            </w:pPr>
          </w:p>
        </w:tc>
      </w:tr>
      <w:tr w14:paraId="1C51D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nil"/>
              <w:right w:val="single" w:color="000000" w:sz="4" w:space="0"/>
            </w:tcBorders>
            <w:shd w:val="clear" w:color="auto" w:fill="auto"/>
            <w:vAlign w:val="center"/>
          </w:tcPr>
          <w:p w14:paraId="27715E74">
            <w:pPr>
              <w:jc w:val="center"/>
              <w:rPr>
                <w:rFonts w:hint="eastAsia" w:ascii="宋体" w:hAnsi="宋体" w:eastAsia="宋体" w:cs="宋体"/>
                <w:b/>
                <w:bCs/>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1156">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可摘局部义齿修复工艺技术</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BB76">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0042">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744C">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ABCA">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41715">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128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6D11A">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64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31CE">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64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11A3">
            <w:pPr>
              <w:jc w:val="center"/>
              <w:rPr>
                <w:rFonts w:hint="default" w:ascii="Arial" w:hAnsi="Arial" w:cs="Arial"/>
                <w:i w:val="0"/>
                <w:iCs w:val="0"/>
                <w:color w:val="000000"/>
                <w:sz w:val="15"/>
                <w:szCs w:val="15"/>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C54FD">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427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F058">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98491">
            <w:pPr>
              <w:jc w:val="center"/>
              <w:rPr>
                <w:rFonts w:hint="default" w:ascii="Arial" w:hAnsi="Arial" w:cs="Arial"/>
                <w:b/>
                <w:bCs/>
                <w:i w:val="0"/>
                <w:iCs w:val="0"/>
                <w:color w:val="000000"/>
                <w:sz w:val="15"/>
                <w:szCs w:val="15"/>
                <w:u w:val="none"/>
              </w:rPr>
            </w:pPr>
          </w:p>
        </w:tc>
      </w:tr>
      <w:tr w14:paraId="3C4B4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nil"/>
              <w:right w:val="single" w:color="000000" w:sz="4" w:space="0"/>
            </w:tcBorders>
            <w:shd w:val="clear" w:color="auto" w:fill="auto"/>
            <w:vAlign w:val="center"/>
          </w:tcPr>
          <w:p w14:paraId="211DF690">
            <w:pPr>
              <w:jc w:val="center"/>
              <w:rPr>
                <w:rFonts w:hint="eastAsia" w:ascii="宋体" w:hAnsi="宋体" w:eastAsia="宋体" w:cs="宋体"/>
                <w:b/>
                <w:bCs/>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8207">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全口义齿工艺技术</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E88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0F84">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2A225">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68A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55AC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64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3F68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A6A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568F">
            <w:pPr>
              <w:jc w:val="center"/>
              <w:rPr>
                <w:rFonts w:hint="default" w:ascii="Arial" w:hAnsi="Arial" w:cs="Arial"/>
                <w:i w:val="0"/>
                <w:iCs w:val="0"/>
                <w:color w:val="000000"/>
                <w:sz w:val="15"/>
                <w:szCs w:val="15"/>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37FB">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A7311">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3AF6F">
            <w:pPr>
              <w:jc w:val="center"/>
              <w:rPr>
                <w:rFonts w:hint="default" w:ascii="Arial" w:hAnsi="Arial" w:cs="Arial"/>
                <w:i w:val="0"/>
                <w:iCs w:val="0"/>
                <w:color w:val="000000"/>
                <w:sz w:val="15"/>
                <w:szCs w:val="15"/>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E4466">
            <w:pPr>
              <w:jc w:val="center"/>
              <w:rPr>
                <w:rFonts w:hint="default" w:ascii="Arial" w:hAnsi="Arial" w:cs="Arial"/>
                <w:b/>
                <w:bCs/>
                <w:i w:val="0"/>
                <w:iCs w:val="0"/>
                <w:color w:val="000000"/>
                <w:sz w:val="15"/>
                <w:szCs w:val="15"/>
                <w:u w:val="none"/>
              </w:rPr>
            </w:pPr>
          </w:p>
        </w:tc>
      </w:tr>
      <w:tr w14:paraId="37860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nil"/>
              <w:right w:val="single" w:color="000000" w:sz="4" w:space="0"/>
            </w:tcBorders>
            <w:shd w:val="clear" w:color="auto" w:fill="auto"/>
            <w:vAlign w:val="center"/>
          </w:tcPr>
          <w:p w14:paraId="0FE7D7F9">
            <w:pPr>
              <w:jc w:val="center"/>
              <w:rPr>
                <w:rFonts w:hint="eastAsia" w:ascii="宋体" w:hAnsi="宋体" w:eastAsia="宋体" w:cs="宋体"/>
                <w:b/>
                <w:bCs/>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85F6">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口腔数字化技术</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A32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7B5F1">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A8160">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24E4">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D4C5">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64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80C7">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D250">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AC0C">
            <w:pPr>
              <w:jc w:val="center"/>
              <w:rPr>
                <w:rFonts w:hint="default" w:ascii="Arial" w:hAnsi="Arial" w:cs="Arial"/>
                <w:i w:val="0"/>
                <w:iCs w:val="0"/>
                <w:color w:val="000000"/>
                <w:sz w:val="15"/>
                <w:szCs w:val="15"/>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C2F1">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A52C">
            <w:pPr>
              <w:jc w:val="center"/>
              <w:rPr>
                <w:rFonts w:hint="default" w:ascii="Arial" w:hAnsi="Arial" w:cs="Arial"/>
                <w:i w:val="0"/>
                <w:iCs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3295">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0AB2D">
            <w:pPr>
              <w:jc w:val="center"/>
              <w:rPr>
                <w:rFonts w:hint="default" w:ascii="Arial" w:hAnsi="Arial" w:cs="Arial"/>
                <w:b/>
                <w:bCs/>
                <w:i w:val="0"/>
                <w:iCs w:val="0"/>
                <w:color w:val="000000"/>
                <w:sz w:val="15"/>
                <w:szCs w:val="15"/>
                <w:u w:val="none"/>
              </w:rPr>
            </w:pPr>
          </w:p>
        </w:tc>
      </w:tr>
      <w:tr w14:paraId="431D2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nil"/>
              <w:right w:val="single" w:color="000000" w:sz="4" w:space="0"/>
            </w:tcBorders>
            <w:shd w:val="clear" w:color="auto" w:fill="auto"/>
            <w:vAlign w:val="center"/>
          </w:tcPr>
          <w:p w14:paraId="2B085438">
            <w:pPr>
              <w:jc w:val="center"/>
              <w:rPr>
                <w:rFonts w:hint="eastAsia" w:ascii="宋体" w:hAnsi="宋体" w:eastAsia="宋体" w:cs="宋体"/>
                <w:b/>
                <w:bCs/>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62C2">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口腔正畸学</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A9DD">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40AA">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320C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FFEA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FC27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72FF4">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908D8">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A288">
            <w:pPr>
              <w:jc w:val="center"/>
              <w:rPr>
                <w:rFonts w:hint="default" w:ascii="Arial" w:hAnsi="Arial" w:cs="Arial"/>
                <w:i w:val="0"/>
                <w:iCs w:val="0"/>
                <w:color w:val="000000"/>
                <w:sz w:val="15"/>
                <w:szCs w:val="15"/>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DE236">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4ECA">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9A4C">
            <w:pPr>
              <w:jc w:val="center"/>
              <w:rPr>
                <w:rFonts w:hint="default" w:ascii="Arial" w:hAnsi="Arial" w:cs="Arial"/>
                <w:i w:val="0"/>
                <w:iCs w:val="0"/>
                <w:color w:val="000000"/>
                <w:sz w:val="15"/>
                <w:szCs w:val="15"/>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EE382">
            <w:pPr>
              <w:jc w:val="center"/>
              <w:rPr>
                <w:rFonts w:hint="default" w:ascii="Arial" w:hAnsi="Arial" w:cs="Arial"/>
                <w:b/>
                <w:bCs/>
                <w:i w:val="0"/>
                <w:iCs w:val="0"/>
                <w:color w:val="000000"/>
                <w:sz w:val="15"/>
                <w:szCs w:val="15"/>
                <w:u w:val="none"/>
              </w:rPr>
            </w:pPr>
          </w:p>
        </w:tc>
      </w:tr>
      <w:tr w14:paraId="03F12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top w:val="single" w:color="000000" w:sz="4" w:space="0"/>
              <w:left w:val="single" w:color="000000" w:sz="4" w:space="0"/>
              <w:bottom w:val="nil"/>
              <w:right w:val="single" w:color="000000" w:sz="4" w:space="0"/>
            </w:tcBorders>
            <w:shd w:val="clear" w:color="auto" w:fill="auto"/>
            <w:vAlign w:val="center"/>
          </w:tcPr>
          <w:p w14:paraId="39889017">
            <w:pPr>
              <w:jc w:val="center"/>
              <w:rPr>
                <w:rFonts w:hint="eastAsia" w:ascii="宋体" w:hAnsi="宋体" w:eastAsia="宋体" w:cs="宋体"/>
                <w:b/>
                <w:bCs/>
                <w:i w:val="0"/>
                <w:iCs w:val="0"/>
                <w:color w:val="000000"/>
                <w:sz w:val="15"/>
                <w:szCs w:val="15"/>
                <w:u w:val="none"/>
              </w:rPr>
            </w:pPr>
          </w:p>
        </w:tc>
        <w:tc>
          <w:tcPr>
            <w:tcW w:w="344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C6D95C7">
            <w:pPr>
              <w:jc w:val="center"/>
              <w:rPr>
                <w:rFonts w:hint="default" w:ascii="Arial" w:hAnsi="Arial" w:cs="Arial"/>
                <w:i w:val="0"/>
                <w:iCs w:val="0"/>
                <w:color w:val="000000"/>
                <w:sz w:val="15"/>
                <w:szCs w:val="15"/>
                <w:u w:val="none"/>
              </w:rPr>
            </w:pPr>
            <w:r>
              <w:rPr>
                <w:rFonts w:hint="eastAsia" w:cs="Arial"/>
                <w:i w:val="0"/>
                <w:iCs w:val="0"/>
                <w:color w:val="000000"/>
                <w:sz w:val="15"/>
                <w:szCs w:val="15"/>
                <w:u w:val="none"/>
                <w:lang w:eastAsia="zh-CN"/>
              </w:rPr>
              <w:t>专业核心课程小计</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7BF97">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6D841">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512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D3D2">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278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0B7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234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ABE40">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D69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C10B">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068D">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12</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EF094">
            <w:pPr>
              <w:jc w:val="center"/>
              <w:rPr>
                <w:rFonts w:hint="default" w:ascii="Arial" w:hAnsi="Arial" w:cs="Arial"/>
                <w:b/>
                <w:bCs/>
                <w:i w:val="0"/>
                <w:iCs w:val="0"/>
                <w:color w:val="000000"/>
                <w:sz w:val="15"/>
                <w:szCs w:val="15"/>
                <w:u w:val="none"/>
              </w:rPr>
            </w:pPr>
          </w:p>
        </w:tc>
      </w:tr>
      <w:tr w14:paraId="420F5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0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343BD5">
            <w:pPr>
              <w:jc w:val="center"/>
              <w:rPr>
                <w:rFonts w:hint="default" w:ascii="Arial" w:hAnsi="Arial" w:cs="Arial"/>
                <w:i w:val="0"/>
                <w:iCs w:val="0"/>
                <w:color w:val="000000"/>
                <w:sz w:val="15"/>
                <w:szCs w:val="15"/>
                <w:u w:val="none"/>
              </w:rPr>
            </w:pPr>
            <w:r>
              <w:rPr>
                <w:rFonts w:hint="eastAsia" w:eastAsia="宋体" w:cs="Arial"/>
                <w:b/>
                <w:bCs/>
                <w:i w:val="0"/>
                <w:iCs w:val="0"/>
                <w:color w:val="000000"/>
                <w:sz w:val="15"/>
                <w:szCs w:val="15"/>
                <w:u w:val="none"/>
                <w:lang w:val="en-US" w:eastAsia="zh-CN"/>
              </w:rPr>
              <w:t>专业必修课小计</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E8E91">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58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906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928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FBD8">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542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7BA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386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A0BB0">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1BF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8366E">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3077">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12</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F89AF">
            <w:pPr>
              <w:jc w:val="center"/>
              <w:rPr>
                <w:rFonts w:hint="default" w:ascii="Arial" w:hAnsi="Arial" w:cs="Arial"/>
                <w:b/>
                <w:bCs/>
                <w:i w:val="0"/>
                <w:iCs w:val="0"/>
                <w:color w:val="000000"/>
                <w:sz w:val="15"/>
                <w:szCs w:val="15"/>
                <w:u w:val="none"/>
              </w:rPr>
            </w:pPr>
          </w:p>
        </w:tc>
      </w:tr>
      <w:tr w14:paraId="1D08B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restart"/>
            <w:tcBorders>
              <w:top w:val="single" w:color="000000" w:sz="4" w:space="0"/>
              <w:left w:val="single" w:color="000000" w:sz="4" w:space="0"/>
              <w:right w:val="single" w:color="000000" w:sz="4" w:space="0"/>
            </w:tcBorders>
            <w:shd w:val="clear" w:color="auto" w:fill="auto"/>
            <w:vAlign w:val="center"/>
          </w:tcPr>
          <w:p w14:paraId="5BDAA34D">
            <w:pPr>
              <w:keepNext w:val="0"/>
              <w:keepLines w:val="0"/>
              <w:widowControl/>
              <w:suppressLineNumbers w:val="0"/>
              <w:jc w:val="center"/>
              <w:textAlignment w:val="center"/>
              <w:rPr>
                <w:rFonts w:ascii="宋体" w:hAnsi="宋体" w:eastAsia="宋体" w:cs="宋体"/>
                <w:b/>
                <w:bCs/>
                <w:i w:val="0"/>
                <w:iCs w:val="0"/>
                <w:snapToGrid w:val="0"/>
                <w:color w:val="000000"/>
                <w:kern w:val="0"/>
                <w:sz w:val="15"/>
                <w:szCs w:val="15"/>
                <w:u w:val="none"/>
                <w:lang w:val="en-US" w:eastAsia="zh-CN" w:bidi="ar"/>
              </w:rPr>
            </w:pPr>
            <w:r>
              <w:rPr>
                <w:rFonts w:ascii="宋体" w:hAnsi="宋体" w:eastAsia="宋体" w:cs="宋体"/>
                <w:b/>
                <w:bCs/>
                <w:i w:val="0"/>
                <w:iCs w:val="0"/>
                <w:snapToGrid w:val="0"/>
                <w:color w:val="000000"/>
                <w:kern w:val="0"/>
                <w:sz w:val="15"/>
                <w:szCs w:val="15"/>
                <w:u w:val="none"/>
                <w:lang w:val="en-US" w:eastAsia="zh-CN" w:bidi="ar"/>
              </w:rPr>
              <w:t>专业</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拓展</w:t>
            </w:r>
            <w:r>
              <w:rPr>
                <w:rFonts w:ascii="宋体" w:hAnsi="宋体" w:eastAsia="宋体" w:cs="宋体"/>
                <w:b/>
                <w:bCs/>
                <w:i w:val="0"/>
                <w:iCs w:val="0"/>
                <w:snapToGrid w:val="0"/>
                <w:color w:val="000000"/>
                <w:kern w:val="0"/>
                <w:sz w:val="15"/>
                <w:szCs w:val="15"/>
                <w:u w:val="none"/>
                <w:lang w:val="en-US" w:eastAsia="zh-CN" w:bidi="ar"/>
              </w:rPr>
              <w:br w:type="textWrapping"/>
            </w:r>
            <w:r>
              <w:rPr>
                <w:rFonts w:ascii="宋体" w:hAnsi="宋体" w:eastAsia="宋体" w:cs="宋体"/>
                <w:b/>
                <w:bCs/>
                <w:i w:val="0"/>
                <w:iCs w:val="0"/>
                <w:snapToGrid w:val="0"/>
                <w:color w:val="000000"/>
                <w:kern w:val="0"/>
                <w:sz w:val="15"/>
                <w:szCs w:val="15"/>
                <w:u w:val="none"/>
                <w:lang w:val="en-US" w:eastAsia="zh-CN" w:bidi="ar"/>
              </w:rPr>
              <w:t>课程</w:t>
            </w:r>
          </w:p>
          <w:p w14:paraId="1732C398">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15"/>
                <w:szCs w:val="15"/>
                <w:u w:val="none"/>
                <w:lang w:val="en-US" w:eastAsia="zh-CN" w:bidi="ar"/>
              </w:rPr>
            </w:pPr>
          </w:p>
          <w:p w14:paraId="482DA156">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15"/>
                <w:szCs w:val="15"/>
                <w:u w:val="none"/>
                <w:lang w:val="en-US" w:eastAsia="zh-CN" w:bidi="ar"/>
              </w:rPr>
            </w:pPr>
            <w:r>
              <w:rPr>
                <w:rFonts w:hint="eastAsia" w:ascii="宋体" w:hAnsi="宋体" w:eastAsia="宋体" w:cs="宋体"/>
                <w:b/>
                <w:bCs/>
                <w:i w:val="0"/>
                <w:iCs w:val="0"/>
                <w:snapToGrid w:val="0"/>
                <w:color w:val="000000"/>
                <w:kern w:val="0"/>
                <w:sz w:val="15"/>
                <w:szCs w:val="15"/>
                <w:u w:val="none"/>
                <w:lang w:val="en-US" w:eastAsia="zh-CN" w:bidi="ar"/>
              </w:rPr>
              <w:t>限选</w:t>
            </w: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AAE5">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口腔设备学</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77BD">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DB889">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810F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42DB">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73FBA">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1C28">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4205">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40ABC">
            <w:pPr>
              <w:jc w:val="center"/>
              <w:rPr>
                <w:rFonts w:hint="default" w:ascii="Arial" w:hAnsi="Arial" w:cs="Arial"/>
                <w:i w:val="0"/>
                <w:iCs w:val="0"/>
                <w:color w:val="000000"/>
                <w:sz w:val="15"/>
                <w:szCs w:val="15"/>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A170">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BF2F">
            <w:pPr>
              <w:jc w:val="center"/>
              <w:rPr>
                <w:rFonts w:hint="default" w:ascii="Arial" w:hAnsi="Arial" w:cs="Arial"/>
                <w:i w:val="0"/>
                <w:iCs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477E6">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EA19F">
            <w:pPr>
              <w:jc w:val="center"/>
              <w:rPr>
                <w:rFonts w:hint="default" w:ascii="Arial" w:hAnsi="Arial" w:cs="Arial"/>
                <w:b/>
                <w:bCs/>
                <w:i w:val="0"/>
                <w:iCs w:val="0"/>
                <w:color w:val="000000"/>
                <w:sz w:val="15"/>
                <w:szCs w:val="15"/>
                <w:u w:val="none"/>
              </w:rPr>
            </w:pPr>
          </w:p>
        </w:tc>
      </w:tr>
      <w:tr w14:paraId="2EA85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left w:val="single" w:color="000000" w:sz="4" w:space="0"/>
              <w:right w:val="single" w:color="000000" w:sz="4" w:space="0"/>
            </w:tcBorders>
            <w:shd w:val="clear" w:color="auto" w:fill="auto"/>
            <w:vAlign w:val="center"/>
          </w:tcPr>
          <w:p w14:paraId="58C34109">
            <w:pPr>
              <w:jc w:val="center"/>
              <w:rPr>
                <w:rFonts w:hint="eastAsia" w:ascii="宋体" w:hAnsi="宋体" w:eastAsia="宋体" w:cs="宋体"/>
                <w:b/>
                <w:bCs/>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EC0E5">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口腔医学美学</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E1FA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5A29">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6B41">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75C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7198">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9529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6208">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6</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6300">
            <w:pPr>
              <w:jc w:val="center"/>
              <w:rPr>
                <w:rFonts w:hint="default" w:ascii="Arial" w:hAnsi="Arial" w:cs="Arial"/>
                <w:i w:val="0"/>
                <w:iCs w:val="0"/>
                <w:color w:val="000000"/>
                <w:sz w:val="15"/>
                <w:szCs w:val="15"/>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153B2">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4A2C">
            <w:pPr>
              <w:jc w:val="center"/>
              <w:rPr>
                <w:rFonts w:hint="default" w:ascii="Arial" w:hAnsi="Arial" w:cs="Arial"/>
                <w:i w:val="0"/>
                <w:iCs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17C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DBE62">
            <w:pPr>
              <w:jc w:val="center"/>
              <w:rPr>
                <w:rFonts w:hint="default" w:ascii="Arial" w:hAnsi="Arial" w:cs="Arial"/>
                <w:b/>
                <w:bCs/>
                <w:i w:val="0"/>
                <w:iCs w:val="0"/>
                <w:color w:val="000000"/>
                <w:sz w:val="15"/>
                <w:szCs w:val="15"/>
                <w:u w:val="none"/>
              </w:rPr>
            </w:pPr>
          </w:p>
        </w:tc>
      </w:tr>
      <w:tr w14:paraId="678BF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left w:val="single" w:color="000000" w:sz="4" w:space="0"/>
              <w:right w:val="single" w:color="000000" w:sz="4" w:space="0"/>
            </w:tcBorders>
            <w:shd w:val="clear" w:color="auto" w:fill="auto"/>
            <w:vAlign w:val="center"/>
          </w:tcPr>
          <w:p w14:paraId="2371B857">
            <w:pPr>
              <w:jc w:val="center"/>
              <w:rPr>
                <w:rFonts w:hint="eastAsia" w:ascii="宋体" w:hAnsi="宋体" w:eastAsia="宋体" w:cs="宋体"/>
                <w:b/>
                <w:bCs/>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A7220">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口腔预防医学</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D10ED">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B128">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3E23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E853B">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40B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7BE3E">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1B1E">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2478">
            <w:pPr>
              <w:jc w:val="center"/>
              <w:rPr>
                <w:rFonts w:hint="default" w:ascii="Arial" w:hAnsi="Arial" w:cs="Arial"/>
                <w:i w:val="0"/>
                <w:iCs w:val="0"/>
                <w:color w:val="000000"/>
                <w:sz w:val="15"/>
                <w:szCs w:val="15"/>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DBEE0">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8888">
            <w:pPr>
              <w:jc w:val="center"/>
              <w:rPr>
                <w:rFonts w:hint="default" w:ascii="Arial" w:hAnsi="Arial" w:cs="Arial"/>
                <w:i w:val="0"/>
                <w:iCs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F10D">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ED322">
            <w:pPr>
              <w:jc w:val="center"/>
              <w:rPr>
                <w:rFonts w:hint="default" w:ascii="Arial" w:hAnsi="Arial" w:cs="Arial"/>
                <w:b/>
                <w:bCs/>
                <w:i w:val="0"/>
                <w:iCs w:val="0"/>
                <w:color w:val="000000"/>
                <w:sz w:val="15"/>
                <w:szCs w:val="15"/>
                <w:u w:val="none"/>
              </w:rPr>
            </w:pPr>
          </w:p>
        </w:tc>
      </w:tr>
      <w:tr w14:paraId="58820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left w:val="single" w:color="000000" w:sz="4" w:space="0"/>
              <w:right w:val="single" w:color="000000" w:sz="4" w:space="0"/>
            </w:tcBorders>
            <w:shd w:val="clear" w:color="auto" w:fill="auto"/>
            <w:vAlign w:val="center"/>
          </w:tcPr>
          <w:p w14:paraId="1DD6DFC8">
            <w:pPr>
              <w:jc w:val="left"/>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89D5">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口腔工艺管理</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1B3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8E3D">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9DAA">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1616">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60A3A">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AF37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765D6">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B9BE">
            <w:pPr>
              <w:jc w:val="center"/>
              <w:rPr>
                <w:rFonts w:hint="default" w:ascii="Arial" w:hAnsi="Arial" w:cs="Arial"/>
                <w:i w:val="0"/>
                <w:iCs w:val="0"/>
                <w:color w:val="000000"/>
                <w:sz w:val="15"/>
                <w:szCs w:val="15"/>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D76E">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54A0">
            <w:pPr>
              <w:jc w:val="center"/>
              <w:rPr>
                <w:rFonts w:hint="default" w:ascii="Arial" w:hAnsi="Arial" w:cs="Arial"/>
                <w:i w:val="0"/>
                <w:iCs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4658">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/2×7</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BA747">
            <w:pPr>
              <w:jc w:val="left"/>
              <w:rPr>
                <w:rFonts w:hint="default" w:ascii="Arial" w:hAnsi="Arial" w:cs="Arial"/>
                <w:i w:val="0"/>
                <w:iCs w:val="0"/>
                <w:color w:val="000000"/>
                <w:sz w:val="15"/>
                <w:szCs w:val="15"/>
                <w:u w:val="none"/>
              </w:rPr>
            </w:pPr>
          </w:p>
        </w:tc>
      </w:tr>
      <w:tr w14:paraId="637DD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left w:val="single" w:color="000000" w:sz="4" w:space="0"/>
              <w:right w:val="single" w:color="000000" w:sz="4" w:space="0"/>
            </w:tcBorders>
            <w:shd w:val="clear" w:color="auto" w:fill="auto"/>
            <w:vAlign w:val="center"/>
          </w:tcPr>
          <w:p w14:paraId="1BB5C3F7">
            <w:pPr>
              <w:jc w:val="left"/>
              <w:rPr>
                <w:rFonts w:hint="default" w:ascii="Arial" w:hAnsi="Arial" w:cs="Arial"/>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B838">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职业资格考试</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F954B">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17EC">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F3B4">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18502">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318F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8CFD">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D96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9A5E">
            <w:pPr>
              <w:jc w:val="center"/>
              <w:rPr>
                <w:rFonts w:hint="default" w:ascii="Arial" w:hAnsi="Arial" w:cs="Arial"/>
                <w:i w:val="0"/>
                <w:iCs w:val="0"/>
                <w:color w:val="000000"/>
                <w:sz w:val="15"/>
                <w:szCs w:val="15"/>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92B9E">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7DFC">
            <w:pPr>
              <w:jc w:val="center"/>
              <w:rPr>
                <w:rFonts w:hint="default" w:ascii="Arial" w:hAnsi="Arial" w:cs="Arial"/>
                <w:i w:val="0"/>
                <w:iCs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63194">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EC072">
            <w:pPr>
              <w:jc w:val="left"/>
              <w:rPr>
                <w:rFonts w:hint="default" w:ascii="Arial" w:hAnsi="Arial" w:cs="Arial"/>
                <w:i w:val="0"/>
                <w:iCs w:val="0"/>
                <w:color w:val="000000"/>
                <w:sz w:val="15"/>
                <w:szCs w:val="15"/>
                <w:u w:val="none"/>
              </w:rPr>
            </w:pPr>
          </w:p>
        </w:tc>
      </w:tr>
      <w:tr w14:paraId="0554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left w:val="single" w:color="000000" w:sz="4" w:space="0"/>
              <w:right w:val="single" w:color="000000" w:sz="4" w:space="0"/>
            </w:tcBorders>
            <w:shd w:val="clear" w:color="auto" w:fill="auto"/>
            <w:vAlign w:val="center"/>
          </w:tcPr>
          <w:p w14:paraId="0FE26AAC">
            <w:pPr>
              <w:jc w:val="left"/>
              <w:rPr>
                <w:rFonts w:hint="default" w:ascii="Arial" w:hAnsi="Arial" w:cs="Arial"/>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D58B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岗前技能综合实训</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D3A2">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2626">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AAC3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997B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BB592">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3E6C">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85FE7">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4F54">
            <w:pPr>
              <w:jc w:val="center"/>
              <w:rPr>
                <w:rFonts w:hint="default" w:ascii="Arial" w:hAnsi="Arial" w:cs="Arial"/>
                <w:i w:val="0"/>
                <w:iCs w:val="0"/>
                <w:color w:val="000000"/>
                <w:sz w:val="15"/>
                <w:szCs w:val="15"/>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4A70">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8168C">
            <w:pPr>
              <w:jc w:val="center"/>
              <w:rPr>
                <w:rFonts w:hint="default" w:ascii="Arial" w:hAnsi="Arial" w:cs="Arial"/>
                <w:i w:val="0"/>
                <w:iCs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8B3E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p>
        </w:tc>
        <w:tc>
          <w:tcPr>
            <w:tcW w:w="780" w:type="dxa"/>
            <w:vMerge w:val="continue"/>
            <w:tcBorders>
              <w:left w:val="single" w:color="000000" w:sz="4" w:space="0"/>
              <w:bottom w:val="single" w:color="000000" w:sz="4" w:space="0"/>
              <w:right w:val="single" w:color="000000" w:sz="4" w:space="0"/>
            </w:tcBorders>
            <w:shd w:val="clear" w:color="auto" w:fill="auto"/>
            <w:vAlign w:val="center"/>
          </w:tcPr>
          <w:p w14:paraId="1AC1C438">
            <w:pPr>
              <w:jc w:val="left"/>
              <w:rPr>
                <w:rFonts w:hint="default" w:ascii="Arial" w:hAnsi="Arial" w:cs="Arial"/>
                <w:i w:val="0"/>
                <w:iCs w:val="0"/>
                <w:color w:val="000000"/>
                <w:sz w:val="15"/>
                <w:szCs w:val="15"/>
                <w:u w:val="none"/>
              </w:rPr>
            </w:pPr>
          </w:p>
        </w:tc>
      </w:tr>
      <w:tr w14:paraId="7F013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left w:val="single" w:color="000000" w:sz="4" w:space="0"/>
              <w:right w:val="single" w:color="000000" w:sz="4" w:space="0"/>
            </w:tcBorders>
            <w:shd w:val="clear" w:color="auto" w:fill="auto"/>
            <w:vAlign w:val="center"/>
          </w:tcPr>
          <w:p w14:paraId="60EE8010">
            <w:pPr>
              <w:jc w:val="left"/>
              <w:rPr>
                <w:rFonts w:hint="default" w:ascii="Arial" w:hAnsi="Arial" w:cs="Arial"/>
                <w:i w:val="0"/>
                <w:iCs w:val="0"/>
                <w:color w:val="000000"/>
                <w:sz w:val="15"/>
                <w:szCs w:val="15"/>
                <w:u w:val="none"/>
              </w:rPr>
            </w:pPr>
          </w:p>
        </w:tc>
        <w:tc>
          <w:tcPr>
            <w:tcW w:w="1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09676">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市场营销</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0AB4B">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6"/>
                <w:szCs w:val="16"/>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54C9">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9CF97">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eastAsia" w:ascii="宋体" w:hAnsi="宋体" w:eastAsia="宋体" w:cs="宋体"/>
                <w:b/>
                <w:bCs/>
                <w:i w:val="0"/>
                <w:iCs w:val="0"/>
                <w:snapToGrid w:val="0"/>
                <w:color w:val="000000"/>
                <w:kern w:val="0"/>
                <w:sz w:val="15"/>
                <w:szCs w:val="15"/>
                <w:u w:val="none"/>
                <w:lang w:val="en-US" w:eastAsia="zh-CN" w:bidi="ar"/>
              </w:rPr>
              <w:t>口腔医学院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522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984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60E7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A948D">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4A80">
            <w:pPr>
              <w:jc w:val="center"/>
              <w:rPr>
                <w:rFonts w:hint="default" w:ascii="Arial" w:hAnsi="Arial" w:cs="Arial"/>
                <w:i w:val="0"/>
                <w:iCs w:val="0"/>
                <w:color w:val="000000"/>
                <w:sz w:val="15"/>
                <w:szCs w:val="15"/>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E00C3">
            <w:pPr>
              <w:jc w:val="center"/>
              <w:rPr>
                <w:rFonts w:hint="default" w:ascii="Arial" w:hAnsi="Arial" w:cs="Arial"/>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B52E3">
            <w:pPr>
              <w:jc w:val="center"/>
              <w:rPr>
                <w:rFonts w:hint="default" w:ascii="Arial" w:hAnsi="Arial" w:cs="Arial"/>
                <w:i w:val="0"/>
                <w:iCs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A923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/2×7</w:t>
            </w:r>
          </w:p>
        </w:tc>
        <w:tc>
          <w:tcPr>
            <w:tcW w:w="780" w:type="dxa"/>
            <w:vMerge w:val="continue"/>
            <w:tcBorders>
              <w:left w:val="single" w:color="000000" w:sz="4" w:space="0"/>
              <w:bottom w:val="single" w:color="000000" w:sz="4" w:space="0"/>
              <w:right w:val="single" w:color="000000" w:sz="4" w:space="0"/>
            </w:tcBorders>
            <w:shd w:val="clear" w:color="auto" w:fill="auto"/>
            <w:vAlign w:val="center"/>
          </w:tcPr>
          <w:p w14:paraId="2D5DBDDA">
            <w:pPr>
              <w:jc w:val="left"/>
              <w:rPr>
                <w:rFonts w:hint="default" w:ascii="Arial" w:hAnsi="Arial" w:cs="Arial"/>
                <w:i w:val="0"/>
                <w:iCs w:val="0"/>
                <w:color w:val="000000"/>
                <w:sz w:val="15"/>
                <w:szCs w:val="15"/>
                <w:u w:val="none"/>
              </w:rPr>
            </w:pPr>
          </w:p>
        </w:tc>
      </w:tr>
      <w:tr w14:paraId="39398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574" w:type="dxa"/>
            <w:vMerge w:val="continue"/>
            <w:tcBorders>
              <w:left w:val="single" w:color="000000" w:sz="4" w:space="0"/>
              <w:bottom w:val="single" w:color="000000" w:sz="4" w:space="0"/>
              <w:right w:val="single" w:color="000000" w:sz="4" w:space="0"/>
            </w:tcBorders>
            <w:shd w:val="clear" w:color="auto" w:fill="auto"/>
            <w:vAlign w:val="center"/>
          </w:tcPr>
          <w:p w14:paraId="2F4F877A">
            <w:pPr>
              <w:jc w:val="center"/>
              <w:rPr>
                <w:rFonts w:hint="default" w:ascii="Arial" w:hAnsi="Arial" w:cs="Arial"/>
                <w:i w:val="0"/>
                <w:iCs w:val="0"/>
                <w:color w:val="000000"/>
                <w:sz w:val="15"/>
                <w:szCs w:val="15"/>
                <w:u w:val="none"/>
              </w:rPr>
            </w:pPr>
          </w:p>
        </w:tc>
        <w:tc>
          <w:tcPr>
            <w:tcW w:w="3441" w:type="dxa"/>
            <w:gridSpan w:val="4"/>
            <w:tcBorders>
              <w:left w:val="single" w:color="000000" w:sz="4" w:space="0"/>
              <w:bottom w:val="single" w:color="000000" w:sz="4" w:space="0"/>
              <w:right w:val="single" w:color="000000" w:sz="4" w:space="0"/>
            </w:tcBorders>
            <w:shd w:val="clear" w:color="auto" w:fill="auto"/>
            <w:vAlign w:val="center"/>
          </w:tcPr>
          <w:p w14:paraId="650C4161">
            <w:pPr>
              <w:jc w:val="center"/>
              <w:rPr>
                <w:rFonts w:hint="default" w:ascii="Arial" w:hAnsi="Arial" w:cs="Arial"/>
                <w:i w:val="0"/>
                <w:iCs w:val="0"/>
                <w:color w:val="000000"/>
                <w:sz w:val="15"/>
                <w:szCs w:val="15"/>
                <w:u w:val="none"/>
              </w:rPr>
            </w:pPr>
            <w:r>
              <w:rPr>
                <w:rFonts w:hint="eastAsia" w:eastAsia="宋体" w:cs="Arial"/>
                <w:b/>
                <w:bCs/>
                <w:i w:val="0"/>
                <w:iCs w:val="0"/>
                <w:color w:val="000000"/>
                <w:sz w:val="15"/>
                <w:szCs w:val="15"/>
                <w:u w:val="none"/>
                <w:lang w:val="en-US" w:eastAsia="zh-CN"/>
              </w:rPr>
              <w:t>专业限选课小计</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1A10B">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1760">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188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C4F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140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895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48</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ECD04">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B502">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93D07">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A731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12</w:t>
            </w:r>
          </w:p>
        </w:tc>
        <w:tc>
          <w:tcPr>
            <w:tcW w:w="780" w:type="dxa"/>
            <w:vMerge w:val="continue"/>
            <w:tcBorders>
              <w:left w:val="single" w:color="000000" w:sz="4" w:space="0"/>
              <w:bottom w:val="single" w:color="000000" w:sz="4" w:space="0"/>
              <w:right w:val="single" w:color="000000" w:sz="4" w:space="0"/>
            </w:tcBorders>
            <w:shd w:val="clear" w:color="auto" w:fill="auto"/>
            <w:vAlign w:val="center"/>
          </w:tcPr>
          <w:p w14:paraId="6E60B1E4">
            <w:pPr>
              <w:jc w:val="left"/>
              <w:rPr>
                <w:rFonts w:hint="default" w:ascii="Arial" w:hAnsi="Arial" w:cs="Arial"/>
                <w:i w:val="0"/>
                <w:iCs w:val="0"/>
                <w:color w:val="000000"/>
                <w:sz w:val="15"/>
                <w:szCs w:val="15"/>
                <w:u w:val="none"/>
              </w:rPr>
            </w:pPr>
          </w:p>
        </w:tc>
      </w:tr>
      <w:tr w14:paraId="019C8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015" w:type="dxa"/>
            <w:gridSpan w:val="5"/>
            <w:tcBorders>
              <w:left w:val="single" w:color="000000" w:sz="4" w:space="0"/>
              <w:bottom w:val="single" w:color="000000" w:sz="4" w:space="0"/>
              <w:right w:val="single" w:color="000000" w:sz="4" w:space="0"/>
            </w:tcBorders>
            <w:shd w:val="clear" w:color="auto" w:fill="auto"/>
            <w:vAlign w:val="center"/>
          </w:tcPr>
          <w:p w14:paraId="2192443E">
            <w:pPr>
              <w:jc w:val="center"/>
              <w:rPr>
                <w:rFonts w:hint="default" w:ascii="Arial" w:hAnsi="Arial" w:cs="Arial"/>
                <w:i w:val="0"/>
                <w:iCs w:val="0"/>
                <w:color w:val="000000"/>
                <w:sz w:val="15"/>
                <w:szCs w:val="15"/>
                <w:u w:val="none"/>
              </w:rPr>
            </w:pPr>
            <w:r>
              <w:rPr>
                <w:rFonts w:hint="eastAsia" w:eastAsia="宋体" w:cs="Arial"/>
                <w:b/>
                <w:bCs/>
                <w:i w:val="0"/>
                <w:iCs w:val="0"/>
                <w:color w:val="000000"/>
                <w:sz w:val="15"/>
                <w:szCs w:val="15"/>
                <w:u w:val="none"/>
                <w:lang w:val="en-US" w:eastAsia="zh-CN"/>
              </w:rPr>
              <w:t>专业课小计</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90C1">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70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B61DA">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1116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7FA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682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F0E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434</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467BA">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14</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D6EE">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0F710">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2F9B8">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24</w:t>
            </w:r>
          </w:p>
        </w:tc>
        <w:tc>
          <w:tcPr>
            <w:tcW w:w="780" w:type="dxa"/>
            <w:vMerge w:val="continue"/>
            <w:tcBorders>
              <w:left w:val="single" w:color="000000" w:sz="4" w:space="0"/>
              <w:bottom w:val="single" w:color="000000" w:sz="4" w:space="0"/>
              <w:right w:val="single" w:color="000000" w:sz="4" w:space="0"/>
            </w:tcBorders>
            <w:shd w:val="clear" w:color="auto" w:fill="auto"/>
            <w:vAlign w:val="center"/>
          </w:tcPr>
          <w:p w14:paraId="16B9B371">
            <w:pPr>
              <w:jc w:val="left"/>
              <w:rPr>
                <w:rFonts w:hint="default" w:ascii="Arial" w:hAnsi="Arial" w:cs="Arial"/>
                <w:i w:val="0"/>
                <w:iCs w:val="0"/>
                <w:color w:val="000000"/>
                <w:sz w:val="15"/>
                <w:szCs w:val="15"/>
                <w:u w:val="none"/>
              </w:rPr>
            </w:pPr>
          </w:p>
        </w:tc>
      </w:tr>
      <w:tr w14:paraId="11555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0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A8A658">
            <w:pPr>
              <w:jc w:val="center"/>
              <w:rPr>
                <w:rFonts w:hint="default" w:ascii="Arial" w:hAnsi="Arial" w:cs="Arial"/>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毕业实习</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936A">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2EDC">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800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334C7">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937C1">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800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C14E">
            <w:pPr>
              <w:jc w:val="center"/>
              <w:rPr>
                <w:rFonts w:hint="default" w:ascii="Arial" w:hAnsi="Arial" w:cs="Arial"/>
                <w:b/>
                <w:bCs/>
                <w:i w:val="0"/>
                <w:iCs w:val="0"/>
                <w:color w:val="000000"/>
                <w:sz w:val="15"/>
                <w:szCs w:val="15"/>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5D2CA">
            <w:pPr>
              <w:jc w:val="center"/>
              <w:rPr>
                <w:rFonts w:hint="default" w:ascii="Arial" w:hAnsi="Arial" w:cs="Arial"/>
                <w:b/>
                <w:bCs/>
                <w:i w:val="0"/>
                <w:iCs w:val="0"/>
                <w:color w:val="000000"/>
                <w:sz w:val="15"/>
                <w:szCs w:val="15"/>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8E0F">
            <w:pPr>
              <w:jc w:val="center"/>
              <w:rPr>
                <w:rFonts w:hint="default" w:ascii="Arial" w:hAnsi="Arial" w:cs="Arial"/>
                <w:b/>
                <w:bCs/>
                <w:i w:val="0"/>
                <w:iCs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196D7">
            <w:pPr>
              <w:jc w:val="center"/>
              <w:rPr>
                <w:rFonts w:hint="default" w:ascii="Arial" w:hAnsi="Arial" w:cs="Arial"/>
                <w:b/>
                <w:bCs/>
                <w:i w:val="0"/>
                <w:iCs w:val="0"/>
                <w:color w:val="000000"/>
                <w:sz w:val="15"/>
                <w:szCs w:val="15"/>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E21EB">
            <w:pPr>
              <w:jc w:val="center"/>
              <w:rPr>
                <w:rFonts w:hint="default" w:ascii="Arial" w:hAnsi="Arial" w:cs="Arial"/>
                <w:b/>
                <w:bCs/>
                <w:i w:val="0"/>
                <w:iCs w:val="0"/>
                <w:color w:val="000000"/>
                <w:sz w:val="15"/>
                <w:szCs w:val="15"/>
                <w:u w:val="none"/>
              </w:rPr>
            </w:pPr>
          </w:p>
        </w:tc>
      </w:tr>
      <w:tr w14:paraId="51DD3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401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2B68F5">
            <w:pPr>
              <w:jc w:val="center"/>
              <w:rPr>
                <w:rFonts w:hint="default" w:ascii="Arial" w:hAnsi="Arial" w:cs="Arial"/>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总学分数、总学时数、周学时数</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0003">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160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A5ED">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2878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871F4">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1248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F1BB0">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1630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D709">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27</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B7A4">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r>
              <w:rPr>
                <w:rFonts w:hint="eastAsia" w:eastAsia="宋体" w:cs="Arial"/>
                <w:b/>
                <w:bCs/>
                <w:i w:val="0"/>
                <w:iCs w:val="0"/>
                <w:snapToGrid w:val="0"/>
                <w:color w:val="000000"/>
                <w:kern w:val="0"/>
                <w:sz w:val="15"/>
                <w:szCs w:val="15"/>
                <w:u w:val="none"/>
                <w:lang w:val="en-US" w:eastAsia="zh-CN" w:bidi="ar"/>
              </w:rPr>
              <w:t>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C6AA">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w:t>
            </w:r>
            <w:r>
              <w:rPr>
                <w:rFonts w:hint="eastAsia" w:eastAsia="宋体" w:cs="Arial"/>
                <w:b/>
                <w:bCs/>
                <w:i w:val="0"/>
                <w:iCs w:val="0"/>
                <w:snapToGrid w:val="0"/>
                <w:color w:val="000000"/>
                <w:kern w:val="0"/>
                <w:sz w:val="15"/>
                <w:szCs w:val="15"/>
                <w:u w:val="none"/>
                <w:lang w:val="en-US" w:eastAsia="zh-CN" w:bidi="ar"/>
              </w:rPr>
              <w:t>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DFDDC">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25</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A02D1">
            <w:pPr>
              <w:jc w:val="center"/>
              <w:rPr>
                <w:rFonts w:hint="default" w:ascii="Arial" w:hAnsi="Arial" w:cs="Arial"/>
                <w:b/>
                <w:bCs/>
                <w:i w:val="0"/>
                <w:iCs w:val="0"/>
                <w:color w:val="000000"/>
                <w:sz w:val="15"/>
                <w:szCs w:val="15"/>
                <w:u w:val="none"/>
              </w:rPr>
            </w:pPr>
          </w:p>
        </w:tc>
      </w:tr>
      <w:tr w14:paraId="19571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271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32FF71">
            <w:pPr>
              <w:keepNext w:val="0"/>
              <w:keepLines w:val="0"/>
              <w:widowControl/>
              <w:suppressLineNumbers w:val="0"/>
              <w:jc w:val="left"/>
              <w:textAlignment w:val="center"/>
              <w:rPr>
                <w:rFonts w:hint="eastAsia" w:ascii="宋体" w:hAnsi="宋体" w:eastAsia="宋体" w:cs="宋体"/>
                <w:i w:val="0"/>
                <w:iCs w:val="0"/>
                <w:snapToGrid w:val="0"/>
                <w:color w:val="000000"/>
                <w:kern w:val="0"/>
                <w:sz w:val="15"/>
                <w:szCs w:val="15"/>
                <w:u w:val="none"/>
                <w:lang w:val="en-US" w:eastAsia="zh-CN" w:bidi="ar"/>
              </w:rPr>
            </w:pPr>
            <w:r>
              <w:rPr>
                <w:rFonts w:ascii="宋体" w:hAnsi="宋体" w:eastAsia="宋体" w:cs="宋体"/>
                <w:i w:val="0"/>
                <w:iCs w:val="0"/>
                <w:snapToGrid w:val="0"/>
                <w:color w:val="000000"/>
                <w:kern w:val="0"/>
                <w:sz w:val="15"/>
                <w:szCs w:val="15"/>
                <w:u w:val="none"/>
                <w:lang w:val="en-US" w:eastAsia="zh-CN" w:bidi="ar"/>
              </w:rPr>
              <w:t>毕业考试科目：</w:t>
            </w:r>
            <w:r>
              <w:rPr>
                <w:rFonts w:ascii="宋体" w:hAnsi="宋体" w:eastAsia="宋体" w:cs="宋体"/>
                <w:i w:val="0"/>
                <w:iCs w:val="0"/>
                <w:snapToGrid w:val="0"/>
                <w:color w:val="000000"/>
                <w:kern w:val="0"/>
                <w:sz w:val="15"/>
                <w:szCs w:val="15"/>
                <w:u w:val="none"/>
                <w:lang w:val="en-US" w:eastAsia="zh-CN" w:bidi="ar"/>
              </w:rPr>
              <w:br w:type="textWrapping"/>
            </w:r>
            <w:r>
              <w:rPr>
                <w:rFonts w:hint="eastAsia" w:ascii="宋体" w:hAnsi="宋体" w:eastAsia="宋体" w:cs="宋体"/>
                <w:i w:val="0"/>
                <w:iCs w:val="0"/>
                <w:snapToGrid w:val="0"/>
                <w:color w:val="000000"/>
                <w:kern w:val="0"/>
                <w:sz w:val="15"/>
                <w:szCs w:val="15"/>
                <w:u w:val="none"/>
                <w:lang w:val="en-US" w:eastAsia="zh-CN" w:bidi="ar"/>
              </w:rPr>
              <w:t xml:space="preserve">1.口腔基础医学概要    </w:t>
            </w:r>
          </w:p>
          <w:p w14:paraId="5E4B75B2">
            <w:pPr>
              <w:keepNext w:val="0"/>
              <w:keepLines w:val="0"/>
              <w:widowControl/>
              <w:suppressLineNumbers w:val="0"/>
              <w:jc w:val="left"/>
              <w:textAlignment w:val="center"/>
              <w:rPr>
                <w:rFonts w:hint="eastAsia" w:ascii="宋体" w:hAnsi="宋体" w:eastAsia="宋体" w:cs="宋体"/>
                <w:i w:val="0"/>
                <w:iCs w:val="0"/>
                <w:snapToGrid w:val="0"/>
                <w:color w:val="000000"/>
                <w:kern w:val="0"/>
                <w:sz w:val="15"/>
                <w:szCs w:val="15"/>
                <w:u w:val="none"/>
                <w:lang w:val="en-US" w:eastAsia="zh-CN" w:bidi="ar"/>
              </w:rPr>
            </w:pPr>
            <w:r>
              <w:rPr>
                <w:rFonts w:hint="eastAsia" w:ascii="宋体" w:hAnsi="宋体" w:eastAsia="宋体" w:cs="宋体"/>
                <w:i w:val="0"/>
                <w:iCs w:val="0"/>
                <w:snapToGrid w:val="0"/>
                <w:color w:val="000000"/>
                <w:kern w:val="0"/>
                <w:sz w:val="15"/>
                <w:szCs w:val="15"/>
                <w:u w:val="none"/>
                <w:lang w:val="en-US" w:eastAsia="zh-CN" w:bidi="ar"/>
              </w:rPr>
              <w:t>2.口腔固定修复工艺技术</w:t>
            </w:r>
          </w:p>
          <w:p w14:paraId="16A6F6A9">
            <w:pPr>
              <w:keepNext w:val="0"/>
              <w:keepLines w:val="0"/>
              <w:widowControl/>
              <w:suppressLineNumbers w:val="0"/>
              <w:jc w:val="left"/>
              <w:textAlignment w:val="center"/>
              <w:rPr>
                <w:rFonts w:ascii="宋体" w:hAnsi="宋体" w:eastAsia="宋体" w:cs="宋体"/>
                <w:i w:val="0"/>
                <w:iCs w:val="0"/>
                <w:color w:val="000000"/>
                <w:sz w:val="15"/>
                <w:szCs w:val="15"/>
                <w:u w:val="none"/>
              </w:rPr>
            </w:pPr>
            <w:r>
              <w:rPr>
                <w:rFonts w:hint="eastAsia" w:ascii="宋体" w:hAnsi="宋体" w:eastAsia="宋体" w:cs="宋体"/>
                <w:i w:val="0"/>
                <w:iCs w:val="0"/>
                <w:snapToGrid w:val="0"/>
                <w:color w:val="000000"/>
                <w:kern w:val="0"/>
                <w:sz w:val="15"/>
                <w:szCs w:val="15"/>
                <w:u w:val="none"/>
                <w:lang w:val="en-US" w:eastAsia="zh-CN" w:bidi="ar"/>
              </w:rPr>
              <w:t>3.可摘局部义齿修复工艺技术</w:t>
            </w:r>
          </w:p>
        </w:tc>
        <w:tc>
          <w:tcPr>
            <w:tcW w:w="34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2BD0A0">
            <w:pPr>
              <w:keepNext w:val="0"/>
              <w:keepLines w:val="0"/>
              <w:widowControl/>
              <w:suppressLineNumbers w:val="0"/>
              <w:jc w:val="center"/>
              <w:textAlignment w:val="center"/>
              <w:rPr>
                <w:rFonts w:ascii="宋体" w:hAnsi="宋体" w:eastAsia="宋体" w:cs="宋体"/>
                <w:b/>
                <w:bCs/>
                <w:i w:val="0"/>
                <w:iCs w:val="0"/>
                <w:snapToGrid w:val="0"/>
                <w:color w:val="000000"/>
                <w:kern w:val="0"/>
                <w:sz w:val="15"/>
                <w:szCs w:val="15"/>
                <w:u w:val="none"/>
                <w:lang w:val="en-US" w:eastAsia="zh-CN" w:bidi="ar"/>
              </w:rPr>
            </w:pPr>
            <w:r>
              <w:rPr>
                <w:rFonts w:ascii="宋体" w:hAnsi="宋体" w:eastAsia="宋体" w:cs="宋体"/>
                <w:b/>
                <w:bCs/>
                <w:i w:val="0"/>
                <w:iCs w:val="0"/>
                <w:snapToGrid w:val="0"/>
                <w:color w:val="000000"/>
                <w:kern w:val="0"/>
                <w:sz w:val="15"/>
                <w:szCs w:val="15"/>
                <w:u w:val="none"/>
                <w:lang w:val="en-US" w:eastAsia="zh-CN" w:bidi="ar"/>
              </w:rPr>
              <w:t>每学期开课门次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3A00">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合计</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970D">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12</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1F700">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5C082">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EDBA">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11</w:t>
            </w:r>
          </w:p>
        </w:tc>
        <w:tc>
          <w:tcPr>
            <w:tcW w:w="780" w:type="dxa"/>
            <w:vMerge w:val="restart"/>
            <w:tcBorders>
              <w:top w:val="single" w:color="000000" w:sz="4" w:space="0"/>
              <w:left w:val="single" w:color="000000" w:sz="4" w:space="0"/>
              <w:right w:val="single" w:color="000000" w:sz="4" w:space="0"/>
            </w:tcBorders>
            <w:shd w:val="clear" w:color="auto" w:fill="auto"/>
            <w:vAlign w:val="center"/>
          </w:tcPr>
          <w:p w14:paraId="34041BA3">
            <w:pPr>
              <w:jc w:val="center"/>
              <w:rPr>
                <w:rFonts w:hint="default" w:ascii="Arial" w:hAnsi="Arial" w:cs="Arial"/>
                <w:b/>
                <w:bCs/>
                <w:i w:val="0"/>
                <w:iCs w:val="0"/>
                <w:color w:val="000000"/>
                <w:sz w:val="15"/>
                <w:szCs w:val="15"/>
                <w:u w:val="none"/>
              </w:rPr>
            </w:pPr>
          </w:p>
        </w:tc>
      </w:tr>
      <w:tr w14:paraId="03524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271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C5385">
            <w:pPr>
              <w:jc w:val="left"/>
              <w:rPr>
                <w:rFonts w:hint="eastAsia" w:ascii="宋体" w:hAnsi="宋体" w:eastAsia="宋体" w:cs="宋体"/>
                <w:i w:val="0"/>
                <w:iCs w:val="0"/>
                <w:color w:val="000000"/>
                <w:sz w:val="15"/>
                <w:szCs w:val="15"/>
                <w:u w:val="none"/>
              </w:rPr>
            </w:pPr>
          </w:p>
        </w:tc>
        <w:tc>
          <w:tcPr>
            <w:tcW w:w="34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A727041">
            <w:pPr>
              <w:keepNext w:val="0"/>
              <w:keepLines w:val="0"/>
              <w:widowControl/>
              <w:suppressLineNumbers w:val="0"/>
              <w:jc w:val="center"/>
              <w:textAlignment w:val="center"/>
              <w:rPr>
                <w:rFonts w:ascii="宋体" w:hAnsi="宋体" w:eastAsia="宋体" w:cs="宋体"/>
                <w:b/>
                <w:bCs/>
                <w:i w:val="0"/>
                <w:iCs w:val="0"/>
                <w:snapToGrid w:val="0"/>
                <w:color w:val="000000"/>
                <w:kern w:val="0"/>
                <w:sz w:val="15"/>
                <w:szCs w:val="15"/>
                <w:u w:val="none"/>
                <w:lang w:val="en-US" w:eastAsia="zh-CN" w:bidi="ar"/>
              </w:rPr>
            </w:pPr>
            <w:r>
              <w:rPr>
                <w:rFonts w:ascii="宋体" w:hAnsi="宋体" w:eastAsia="宋体" w:cs="宋体"/>
                <w:b/>
                <w:bCs/>
                <w:i w:val="0"/>
                <w:iCs w:val="0"/>
                <w:snapToGrid w:val="0"/>
                <w:color w:val="000000"/>
                <w:kern w:val="0"/>
                <w:sz w:val="15"/>
                <w:szCs w:val="15"/>
                <w:u w:val="none"/>
                <w:lang w:val="en-US" w:eastAsia="zh-CN" w:bidi="ar"/>
              </w:rPr>
              <w:t>考试门次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D3BED">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合计</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AE365">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8ED30">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188BD">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2793">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3</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68513">
            <w:pPr>
              <w:jc w:val="center"/>
              <w:rPr>
                <w:rFonts w:hint="default" w:ascii="Arial" w:hAnsi="Arial" w:cs="Arial"/>
                <w:b/>
                <w:bCs/>
                <w:i w:val="0"/>
                <w:iCs w:val="0"/>
                <w:color w:val="000000"/>
                <w:sz w:val="15"/>
                <w:szCs w:val="15"/>
                <w:u w:val="none"/>
              </w:rPr>
            </w:pPr>
          </w:p>
        </w:tc>
      </w:tr>
      <w:tr w14:paraId="3635E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 w:hRule="atLeast"/>
        </w:trPr>
        <w:tc>
          <w:tcPr>
            <w:tcW w:w="271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1360A">
            <w:pPr>
              <w:jc w:val="left"/>
              <w:rPr>
                <w:rFonts w:hint="eastAsia" w:ascii="宋体" w:hAnsi="宋体" w:eastAsia="宋体" w:cs="宋体"/>
                <w:i w:val="0"/>
                <w:iCs w:val="0"/>
                <w:color w:val="000000"/>
                <w:sz w:val="15"/>
                <w:szCs w:val="15"/>
                <w:u w:val="none"/>
              </w:rPr>
            </w:pPr>
          </w:p>
        </w:tc>
        <w:tc>
          <w:tcPr>
            <w:tcW w:w="34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C4AA32">
            <w:pPr>
              <w:keepNext w:val="0"/>
              <w:keepLines w:val="0"/>
              <w:widowControl/>
              <w:suppressLineNumbers w:val="0"/>
              <w:jc w:val="center"/>
              <w:textAlignment w:val="center"/>
              <w:rPr>
                <w:rFonts w:ascii="宋体" w:hAnsi="宋体" w:eastAsia="宋体" w:cs="宋体"/>
                <w:b/>
                <w:bCs/>
                <w:i w:val="0"/>
                <w:iCs w:val="0"/>
                <w:snapToGrid w:val="0"/>
                <w:color w:val="000000"/>
                <w:kern w:val="0"/>
                <w:sz w:val="15"/>
                <w:szCs w:val="15"/>
                <w:u w:val="none"/>
                <w:lang w:val="en-US" w:eastAsia="zh-CN" w:bidi="ar"/>
              </w:rPr>
            </w:pPr>
            <w:r>
              <w:rPr>
                <w:rFonts w:ascii="宋体" w:hAnsi="宋体" w:eastAsia="宋体" w:cs="宋体"/>
                <w:b/>
                <w:bCs/>
                <w:i w:val="0"/>
                <w:iCs w:val="0"/>
                <w:snapToGrid w:val="0"/>
                <w:color w:val="000000"/>
                <w:kern w:val="0"/>
                <w:sz w:val="15"/>
                <w:szCs w:val="15"/>
                <w:u w:val="none"/>
                <w:lang w:val="en-US" w:eastAsia="zh-CN" w:bidi="ar"/>
              </w:rPr>
              <w:t>考查门次</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890E">
            <w:pPr>
              <w:keepNext w:val="0"/>
              <w:keepLines w:val="0"/>
              <w:widowControl/>
              <w:suppressLineNumbers w:val="0"/>
              <w:jc w:val="center"/>
              <w:textAlignment w:val="center"/>
              <w:rPr>
                <w:rFonts w:hint="default" w:ascii="Arial" w:hAnsi="Arial" w:cs="Arial"/>
                <w:b/>
                <w:bCs/>
                <w:i w:val="0"/>
                <w:iCs w:val="0"/>
                <w:color w:val="000000"/>
                <w:sz w:val="15"/>
                <w:szCs w:val="15"/>
                <w:u w:val="none"/>
              </w:rPr>
            </w:pPr>
            <w:r>
              <w:rPr>
                <w:rFonts w:ascii="宋体" w:hAnsi="宋体" w:eastAsia="宋体" w:cs="宋体"/>
                <w:b/>
                <w:bCs/>
                <w:i w:val="0"/>
                <w:iCs w:val="0"/>
                <w:snapToGrid w:val="0"/>
                <w:color w:val="000000"/>
                <w:kern w:val="0"/>
                <w:sz w:val="15"/>
                <w:szCs w:val="15"/>
                <w:u w:val="none"/>
                <w:lang w:val="en-US" w:eastAsia="zh-CN" w:bidi="ar"/>
              </w:rPr>
              <w:t>合计</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140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9</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59555">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6</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7309">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7</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ECFF">
            <w:pPr>
              <w:keepNext w:val="0"/>
              <w:keepLines w:val="0"/>
              <w:widowControl/>
              <w:suppressLineNumbers w:val="0"/>
              <w:jc w:val="center"/>
              <w:textAlignment w:val="center"/>
              <w:rPr>
                <w:rFonts w:hint="default" w:ascii="Arial" w:hAnsi="Arial" w:cs="Arial"/>
                <w:i w:val="0"/>
                <w:iCs w:val="0"/>
                <w:color w:val="000000"/>
                <w:sz w:val="15"/>
                <w:szCs w:val="15"/>
                <w:u w:val="none"/>
              </w:rPr>
            </w:pPr>
            <w:r>
              <w:rPr>
                <w:rFonts w:hint="default" w:ascii="Arial" w:hAnsi="Arial" w:eastAsia="宋体" w:cs="Arial"/>
                <w:b/>
                <w:bCs/>
                <w:i w:val="0"/>
                <w:iCs w:val="0"/>
                <w:snapToGrid w:val="0"/>
                <w:color w:val="000000"/>
                <w:kern w:val="0"/>
                <w:sz w:val="15"/>
                <w:szCs w:val="15"/>
                <w:u w:val="none"/>
                <w:lang w:val="en-US" w:eastAsia="zh-CN" w:bidi="ar"/>
              </w:rPr>
              <w:t>8</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DC997">
            <w:pPr>
              <w:jc w:val="center"/>
              <w:rPr>
                <w:rFonts w:hint="default" w:ascii="Arial" w:hAnsi="Arial" w:cs="Arial"/>
                <w:b/>
                <w:bCs/>
                <w:i w:val="0"/>
                <w:iCs w:val="0"/>
                <w:color w:val="000000"/>
                <w:sz w:val="15"/>
                <w:szCs w:val="15"/>
                <w:u w:val="none"/>
              </w:rPr>
            </w:pPr>
          </w:p>
        </w:tc>
      </w:tr>
    </w:tbl>
    <w:tbl>
      <w:tblPr>
        <w:tblStyle w:val="9"/>
        <w:tblpPr w:leftFromText="180" w:rightFromText="180" w:vertAnchor="text" w:tblpX="10750" w:tblpY="499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tblGrid>
      <w:tr w14:paraId="6327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605" w:type="dxa"/>
          </w:tcPr>
          <w:p w14:paraId="5FD93229">
            <w:pPr>
              <w:widowControl w:val="0"/>
              <w:spacing w:line="26" w:lineRule="exact"/>
              <w:rPr>
                <w:vertAlign w:val="baseline"/>
              </w:rPr>
            </w:pPr>
          </w:p>
        </w:tc>
      </w:tr>
    </w:tbl>
    <w:p w14:paraId="750C2E37">
      <w:pPr>
        <w:spacing w:line="26" w:lineRule="exact"/>
      </w:pPr>
    </w:p>
    <w:p w14:paraId="5FC102C7">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right="465" w:rightChars="0"/>
        <w:textAlignment w:val="baseline"/>
        <w:rPr>
          <w:rFonts w:hint="eastAsia"/>
          <w:b w:val="0"/>
          <w:bCs/>
          <w:color w:val="auto"/>
          <w:spacing w:val="-1"/>
          <w:sz w:val="28"/>
          <w:szCs w:val="28"/>
          <w:lang w:val="en-US" w:eastAsia="zh-CN"/>
        </w:rPr>
      </w:pPr>
      <w:r>
        <w:rPr>
          <w:rFonts w:hint="eastAsia"/>
          <w:b w:val="0"/>
          <w:bCs/>
          <w:color w:val="auto"/>
          <w:spacing w:val="-1"/>
          <w:sz w:val="28"/>
          <w:szCs w:val="28"/>
          <w:lang w:val="en-US" w:eastAsia="zh-CN"/>
        </w:rPr>
        <w:t>备注：</w:t>
      </w:r>
    </w:p>
    <w:p w14:paraId="342EEB9F">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right="465" w:rightChars="0" w:firstLine="556" w:firstLineChars="200"/>
        <w:jc w:val="both"/>
        <w:textAlignment w:val="baseline"/>
        <w:rPr>
          <w:rFonts w:hint="eastAsia"/>
          <w:b w:val="0"/>
          <w:bCs/>
          <w:color w:val="auto"/>
          <w:spacing w:val="-1"/>
          <w:sz w:val="28"/>
          <w:szCs w:val="28"/>
          <w:lang w:val="en-US" w:eastAsia="zh-CN"/>
        </w:rPr>
      </w:pPr>
      <w:r>
        <w:rPr>
          <w:rFonts w:hint="eastAsia"/>
          <w:b w:val="0"/>
          <w:bCs/>
          <w:color w:val="auto"/>
          <w:spacing w:val="-1"/>
          <w:sz w:val="28"/>
          <w:szCs w:val="28"/>
          <w:lang w:val="en-US" w:eastAsia="zh-CN"/>
        </w:rPr>
        <w:t>1.《口腔数字化技术》《口腔设备学》《岗前技能综合实训》《口腔固定修复工艺技术》《可摘局部义齿修复工艺技术》课程需在“0.5”阶段由行业、企业导师讲授。</w:t>
      </w:r>
    </w:p>
    <w:p w14:paraId="000A8891">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right="465" w:rightChars="0" w:firstLine="556" w:firstLineChars="200"/>
        <w:jc w:val="both"/>
        <w:textAlignment w:val="baseline"/>
        <w:rPr>
          <w:rFonts w:hint="eastAsia"/>
          <w:b w:val="0"/>
          <w:bCs/>
          <w:color w:val="auto"/>
          <w:spacing w:val="-1"/>
          <w:sz w:val="28"/>
          <w:szCs w:val="28"/>
          <w:lang w:val="en-US" w:eastAsia="zh-CN"/>
        </w:rPr>
      </w:pPr>
      <w:r>
        <w:rPr>
          <w:rFonts w:hint="eastAsia"/>
          <w:b w:val="0"/>
          <w:bCs/>
          <w:color w:val="auto"/>
          <w:spacing w:val="-1"/>
          <w:sz w:val="28"/>
          <w:szCs w:val="28"/>
          <w:lang w:val="en-US" w:eastAsia="zh-CN"/>
        </w:rPr>
        <w:t>2.《口腔医学美学》《口腔预防医学》《职业资格考试》《市场营销》《口腔工艺管理学》等课程需在“0.5”阶段由校内教师为赴企业学生进行线上授课。</w:t>
      </w:r>
    </w:p>
    <w:p w14:paraId="10CCE00D">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right="465" w:rightChars="0" w:firstLine="556" w:firstLineChars="200"/>
        <w:jc w:val="both"/>
        <w:textAlignment w:val="baseline"/>
        <w:rPr>
          <w:rFonts w:hint="eastAsia"/>
          <w:b w:val="0"/>
          <w:bCs/>
          <w:color w:val="auto"/>
          <w:spacing w:val="-1"/>
          <w:sz w:val="28"/>
          <w:szCs w:val="28"/>
          <w:lang w:val="en-US" w:eastAsia="zh-CN"/>
        </w:rPr>
      </w:pPr>
      <w:r>
        <w:rPr>
          <w:rFonts w:hint="eastAsia"/>
          <w:b w:val="0"/>
          <w:bCs/>
          <w:color w:val="auto"/>
          <w:spacing w:val="-1"/>
          <w:sz w:val="28"/>
          <w:szCs w:val="28"/>
          <w:lang w:val="en-US" w:eastAsia="zh-CN"/>
        </w:rPr>
        <w:t>3.不计入周课堂教学时数情况：</w:t>
      </w:r>
    </w:p>
    <w:p w14:paraId="4B3A7491">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right="465" w:rightChars="0" w:firstLine="556" w:firstLineChars="200"/>
        <w:jc w:val="both"/>
        <w:textAlignment w:val="baseline"/>
        <w:rPr>
          <w:rFonts w:hint="default"/>
          <w:b w:val="0"/>
          <w:bCs/>
          <w:color w:val="auto"/>
          <w:spacing w:val="-1"/>
          <w:sz w:val="28"/>
          <w:szCs w:val="28"/>
          <w:lang w:val="en-US" w:eastAsia="zh-CN"/>
        </w:rPr>
      </w:pPr>
      <w:r>
        <w:rPr>
          <w:rFonts w:hint="eastAsia"/>
          <w:b w:val="0"/>
          <w:bCs/>
          <w:color w:val="auto"/>
          <w:spacing w:val="-1"/>
          <w:sz w:val="28"/>
          <w:szCs w:val="28"/>
          <w:lang w:val="en-US" w:eastAsia="zh-CN"/>
        </w:rPr>
        <w:t>※表示线上通识课，由学生课余在线上自主学习；❖表示课外实践，由学生根据专业或相关部门的安排自主选择时间完成。</w:t>
      </w:r>
    </w:p>
    <w:p w14:paraId="2797C7F6">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right="465" w:rightChars="0" w:firstLine="556" w:firstLineChars="200"/>
        <w:jc w:val="both"/>
        <w:textAlignment w:val="baseline"/>
        <w:rPr>
          <w:rFonts w:hint="eastAsia"/>
          <w:b w:val="0"/>
          <w:bCs/>
          <w:color w:val="auto"/>
          <w:spacing w:val="-1"/>
          <w:sz w:val="28"/>
          <w:szCs w:val="28"/>
          <w:lang w:val="en-US" w:eastAsia="zh-CN"/>
        </w:rPr>
      </w:pPr>
      <w:r>
        <w:rPr>
          <w:rFonts w:hint="eastAsia"/>
          <w:b w:val="0"/>
          <w:bCs/>
          <w:color w:val="auto"/>
          <w:spacing w:val="-1"/>
          <w:sz w:val="28"/>
          <w:szCs w:val="28"/>
          <w:lang w:val="en-US" w:eastAsia="zh-CN"/>
        </w:rPr>
        <w:t>4.考核方式：</w:t>
      </w:r>
    </w:p>
    <w:p w14:paraId="46FA8B4A">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right="465" w:rightChars="0" w:firstLine="556" w:firstLineChars="200"/>
        <w:jc w:val="both"/>
        <w:textAlignment w:val="baseline"/>
        <w:rPr>
          <w:rFonts w:hint="eastAsia" w:ascii="仿宋" w:hAnsi="仿宋" w:eastAsia="仿宋" w:cs="仿宋"/>
          <w:b w:val="0"/>
          <w:bCs/>
          <w:snapToGrid w:val="0"/>
          <w:color w:val="auto"/>
          <w:spacing w:val="-1"/>
          <w:kern w:val="0"/>
          <w:sz w:val="28"/>
          <w:szCs w:val="28"/>
          <w:lang w:val="en-US" w:eastAsia="zh-CN" w:bidi="ar-SA"/>
        </w:rPr>
      </w:pPr>
      <w:r>
        <w:rPr>
          <w:rFonts w:hint="eastAsia"/>
          <w:b w:val="0"/>
          <w:bCs/>
          <w:color w:val="auto"/>
          <w:spacing w:val="-1"/>
          <w:sz w:val="28"/>
          <w:szCs w:val="28"/>
          <w:lang w:val="en-US" w:eastAsia="zh-CN"/>
        </w:rPr>
        <w:t>★表示考核方式为考试，●表示考核方式为考查。</w:t>
      </w:r>
      <w:r>
        <w:rPr>
          <w:rFonts w:hint="eastAsia" w:ascii="仿宋" w:hAnsi="仿宋" w:eastAsia="仿宋" w:cs="仿宋"/>
          <w:b w:val="0"/>
          <w:bCs/>
          <w:snapToGrid w:val="0"/>
          <w:color w:val="auto"/>
          <w:spacing w:val="-1"/>
          <w:kern w:val="0"/>
          <w:sz w:val="28"/>
          <w:szCs w:val="28"/>
          <w:lang w:val="en-US" w:eastAsia="zh-CN" w:bidi="ar-SA"/>
        </w:rPr>
        <w:t xml:space="preserve"> </w:t>
      </w:r>
    </w:p>
    <w:p w14:paraId="71346143">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29" w:name="_Toc29117"/>
      <w:bookmarkStart w:id="30" w:name="_Toc32729"/>
      <w:r>
        <w:t>（三）第二课堂安排表</w:t>
      </w:r>
      <w:bookmarkEnd w:id="29"/>
      <w:bookmarkEnd w:id="30"/>
    </w:p>
    <w:p w14:paraId="746C7885">
      <w:pPr>
        <w:spacing w:line="30" w:lineRule="auto"/>
        <w:rPr>
          <w:rFonts w:ascii="Arial"/>
          <w:sz w:val="2"/>
        </w:rPr>
      </w:pPr>
    </w:p>
    <w:tbl>
      <w:tblPr>
        <w:tblStyle w:val="8"/>
        <w:tblW w:w="8889"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19"/>
        <w:gridCol w:w="720"/>
        <w:gridCol w:w="780"/>
        <w:gridCol w:w="825"/>
        <w:gridCol w:w="750"/>
        <w:gridCol w:w="720"/>
        <w:gridCol w:w="750"/>
        <w:gridCol w:w="725"/>
      </w:tblGrid>
      <w:tr w14:paraId="17104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6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36CA23">
            <w:pPr>
              <w:keepNext w:val="0"/>
              <w:keepLines w:val="0"/>
              <w:widowControl/>
              <w:suppressLineNumbers w:val="0"/>
              <w:jc w:val="center"/>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snapToGrid w:val="0"/>
                <w:color w:val="000000"/>
                <w:kern w:val="0"/>
                <w:sz w:val="20"/>
                <w:szCs w:val="20"/>
                <w:u w:val="none"/>
                <w:lang w:val="en-US" w:eastAsia="zh-CN" w:bidi="ar"/>
              </w:rPr>
              <w:t>教学内容</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3EDDE9">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snapToGrid w:val="0"/>
                <w:color w:val="000000"/>
                <w:kern w:val="0"/>
                <w:sz w:val="20"/>
                <w:szCs w:val="20"/>
                <w:u w:val="none"/>
                <w:lang w:val="en-US" w:eastAsia="zh-CN" w:bidi="ar"/>
              </w:rPr>
              <w:t>学</w:t>
            </w:r>
            <w:r>
              <w:rPr>
                <w:rFonts w:hint="eastAsia" w:ascii="仿宋" w:hAnsi="仿宋" w:eastAsia="仿宋" w:cs="仿宋"/>
                <w:i w:val="0"/>
                <w:iCs w:val="0"/>
                <w:snapToGrid w:val="0"/>
                <w:color w:val="000000"/>
                <w:kern w:val="0"/>
                <w:sz w:val="20"/>
                <w:szCs w:val="20"/>
                <w:u w:val="none"/>
                <w:lang w:val="en-US" w:eastAsia="zh-CN" w:bidi="ar"/>
              </w:rPr>
              <w:t xml:space="preserve"> </w:t>
            </w:r>
            <w:r>
              <w:rPr>
                <w:rFonts w:hint="eastAsia" w:ascii="仿宋" w:hAnsi="仿宋" w:eastAsia="仿宋" w:cs="仿宋"/>
                <w:b/>
                <w:bCs/>
                <w:i w:val="0"/>
                <w:iCs w:val="0"/>
                <w:snapToGrid w:val="0"/>
                <w:color w:val="000000"/>
                <w:kern w:val="0"/>
                <w:sz w:val="20"/>
                <w:szCs w:val="20"/>
                <w:u w:val="none"/>
                <w:lang w:val="en-US" w:eastAsia="zh-CN" w:bidi="ar"/>
              </w:rPr>
              <w:t>分</w:t>
            </w:r>
          </w:p>
        </w:tc>
        <w:tc>
          <w:tcPr>
            <w:tcW w:w="4550" w:type="dxa"/>
            <w:gridSpan w:val="6"/>
            <w:tcBorders>
              <w:top w:val="single" w:color="000000" w:sz="4" w:space="0"/>
              <w:left w:val="single" w:color="000000" w:sz="4" w:space="0"/>
              <w:bottom w:val="single" w:color="000000" w:sz="4" w:space="0"/>
              <w:right w:val="single" w:color="auto" w:sz="4" w:space="0"/>
            </w:tcBorders>
            <w:shd w:val="clear" w:color="auto" w:fill="auto"/>
            <w:vAlign w:val="center"/>
          </w:tcPr>
          <w:p w14:paraId="70B79500">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snapToGrid w:val="0"/>
                <w:color w:val="000000"/>
                <w:kern w:val="0"/>
                <w:sz w:val="20"/>
                <w:szCs w:val="20"/>
                <w:u w:val="none"/>
                <w:lang w:val="en-US" w:eastAsia="zh-CN" w:bidi="ar"/>
              </w:rPr>
              <w:t>实践学时</w:t>
            </w:r>
          </w:p>
        </w:tc>
      </w:tr>
      <w:tr w14:paraId="6EA19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3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4A7FC">
            <w:pPr>
              <w:jc w:val="center"/>
              <w:rPr>
                <w:rFonts w:hint="eastAsia" w:ascii="仿宋" w:hAnsi="仿宋" w:eastAsia="仿宋" w:cs="仿宋"/>
                <w:b/>
                <w:bCs/>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0DF45">
            <w:pPr>
              <w:jc w:val="center"/>
              <w:rPr>
                <w:rFonts w:hint="eastAsia" w:ascii="仿宋" w:hAnsi="仿宋" w:eastAsia="仿宋" w:cs="仿宋"/>
                <w:b/>
                <w:bCs/>
                <w:i w:val="0"/>
                <w:iCs w:val="0"/>
                <w:color w:val="000000"/>
                <w:sz w:val="20"/>
                <w:szCs w:val="20"/>
                <w:u w:val="none"/>
              </w:rPr>
            </w:pPr>
          </w:p>
        </w:tc>
        <w:tc>
          <w:tcPr>
            <w:tcW w:w="16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19883E">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snapToGrid w:val="0"/>
                <w:color w:val="000000"/>
                <w:kern w:val="0"/>
                <w:sz w:val="20"/>
                <w:szCs w:val="20"/>
                <w:u w:val="none"/>
                <w:lang w:val="en-US" w:eastAsia="zh-CN" w:bidi="ar"/>
              </w:rPr>
              <w:t>第一学年</w:t>
            </w:r>
          </w:p>
        </w:tc>
        <w:tc>
          <w:tcPr>
            <w:tcW w:w="14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7C731D">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snapToGrid w:val="0"/>
                <w:color w:val="000000"/>
                <w:kern w:val="0"/>
                <w:sz w:val="20"/>
                <w:szCs w:val="20"/>
                <w:u w:val="none"/>
                <w:lang w:val="en-US" w:eastAsia="zh-CN" w:bidi="ar"/>
              </w:rPr>
              <w:t>第二学年</w:t>
            </w:r>
          </w:p>
        </w:tc>
        <w:tc>
          <w:tcPr>
            <w:tcW w:w="1475"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5F4C971D">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snapToGrid w:val="0"/>
                <w:color w:val="000000"/>
                <w:kern w:val="0"/>
                <w:sz w:val="20"/>
                <w:szCs w:val="20"/>
                <w:u w:val="none"/>
                <w:lang w:val="en-US" w:eastAsia="zh-CN" w:bidi="ar"/>
              </w:rPr>
              <w:t>第三学年</w:t>
            </w:r>
          </w:p>
        </w:tc>
      </w:tr>
      <w:tr w14:paraId="1A61D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6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856FA">
            <w:pPr>
              <w:jc w:val="center"/>
              <w:rPr>
                <w:rFonts w:hint="eastAsia" w:ascii="仿宋" w:hAnsi="仿宋" w:eastAsia="仿宋" w:cs="仿宋"/>
                <w:b/>
                <w:bCs/>
                <w:i w:val="0"/>
                <w:iCs w:val="0"/>
                <w:color w:val="000000"/>
                <w:sz w:val="20"/>
                <w:szCs w:val="20"/>
                <w:u w:val="none"/>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A7898">
            <w:pPr>
              <w:jc w:val="center"/>
              <w:rPr>
                <w:rFonts w:hint="eastAsia" w:ascii="仿宋" w:hAnsi="仿宋" w:eastAsia="仿宋" w:cs="仿宋"/>
                <w:b/>
                <w:bCs/>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8641F">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snapToGrid w:val="0"/>
                <w:color w:val="000000"/>
                <w:kern w:val="0"/>
                <w:sz w:val="20"/>
                <w:szCs w:val="20"/>
                <w:u w:val="none"/>
                <w:lang w:val="en-US" w:eastAsia="zh-CN" w:bidi="ar"/>
              </w:rPr>
              <w:t>一</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6F025">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snapToGrid w:val="0"/>
                <w:color w:val="000000"/>
                <w:kern w:val="0"/>
                <w:sz w:val="20"/>
                <w:szCs w:val="20"/>
                <w:u w:val="none"/>
                <w:lang w:val="en-US" w:eastAsia="zh-CN" w:bidi="ar"/>
              </w:rPr>
              <w:t>二</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6E0D">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snapToGrid w:val="0"/>
                <w:color w:val="000000"/>
                <w:kern w:val="0"/>
                <w:sz w:val="20"/>
                <w:szCs w:val="20"/>
                <w:u w:val="none"/>
                <w:lang w:val="en-US" w:eastAsia="zh-CN" w:bidi="ar"/>
              </w:rPr>
              <w:t>三</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B6A2">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snapToGrid w:val="0"/>
                <w:color w:val="000000"/>
                <w:kern w:val="0"/>
                <w:sz w:val="20"/>
                <w:szCs w:val="20"/>
                <w:u w:val="none"/>
                <w:lang w:val="en-US" w:eastAsia="zh-CN" w:bidi="ar"/>
              </w:rPr>
              <w:t>四</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638D">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snapToGrid w:val="0"/>
                <w:color w:val="000000"/>
                <w:kern w:val="0"/>
                <w:sz w:val="20"/>
                <w:szCs w:val="20"/>
                <w:u w:val="none"/>
                <w:lang w:val="en-US" w:eastAsia="zh-CN" w:bidi="ar"/>
              </w:rPr>
              <w:t>五</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62666">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snapToGrid w:val="0"/>
                <w:color w:val="000000"/>
                <w:kern w:val="0"/>
                <w:sz w:val="20"/>
                <w:szCs w:val="20"/>
                <w:u w:val="none"/>
                <w:lang w:val="en-US" w:eastAsia="zh-CN" w:bidi="ar"/>
              </w:rPr>
              <w:t>六</w:t>
            </w:r>
          </w:p>
        </w:tc>
      </w:tr>
      <w:tr w14:paraId="38283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1F483">
            <w:pPr>
              <w:ind w:left="-50" w:leftChars="0" w:right="-50" w:rightChars="0"/>
              <w:jc w:val="center"/>
              <w:rPr>
                <w:rFonts w:hint="eastAsia" w:ascii="Arial" w:hAnsi="Arial" w:eastAsia="宋体" w:cs="Arial"/>
                <w:i w:val="0"/>
                <w:iCs w:val="0"/>
                <w:color w:val="000000"/>
                <w:sz w:val="21"/>
                <w:szCs w:val="21"/>
                <w:u w:val="none"/>
              </w:rPr>
            </w:pPr>
            <w:r>
              <w:rPr>
                <w:rFonts w:hint="eastAsia" w:ascii="仿宋" w:hAnsi="仿宋" w:eastAsia="仿宋" w:cs="仿宋"/>
                <w:b/>
                <w:bCs w:val="0"/>
                <w:color w:val="auto"/>
                <w:sz w:val="20"/>
                <w:szCs w:val="20"/>
                <w:highlight w:val="none"/>
                <w:lang w:val="en-US" w:eastAsia="zh-CN"/>
              </w:rPr>
              <w:t>牙齿雕刻</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9879">
            <w:pPr>
              <w:ind w:left="-50" w:leftChars="0" w:right="-50" w:rightChars="0"/>
              <w:jc w:val="center"/>
              <w:rPr>
                <w:rFonts w:hint="default" w:ascii="Arial" w:hAnsi="Arial" w:eastAsia="宋体" w:cs="Arial"/>
                <w:i w:val="0"/>
                <w:iCs w:val="0"/>
                <w:color w:val="000000"/>
                <w:sz w:val="21"/>
                <w:szCs w:val="21"/>
                <w:u w:val="none"/>
              </w:rPr>
            </w:pPr>
            <w:r>
              <w:rPr>
                <w:rFonts w:hint="eastAsia" w:ascii="仿宋" w:hAnsi="仿宋" w:eastAsia="仿宋" w:cs="仿宋"/>
                <w:b/>
                <w:bCs w:val="0"/>
                <w:color w:val="auto"/>
                <w:sz w:val="20"/>
                <w:szCs w:val="20"/>
                <w:highlight w:val="none"/>
                <w:lang w:val="en-US" w:eastAsia="zh-CN"/>
              </w:rPr>
              <w:t>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C3C2">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B2E7B">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lang w:val="en-US" w:eastAsia="zh-CN"/>
              </w:rPr>
              <w:t>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A75C">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lang w:val="en-US" w:eastAsia="zh-CN"/>
              </w:rPr>
              <w:t>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39E4">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lang w:val="en-US" w:eastAsia="zh-CN"/>
              </w:rPr>
              <w:t>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2B95">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lang w:val="en-US" w:eastAsia="zh-CN"/>
              </w:rPr>
              <w:t>5</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349D5">
            <w:pPr>
              <w:jc w:val="center"/>
              <w:rPr>
                <w:rFonts w:hint="default" w:ascii="Arial" w:hAnsi="Arial" w:eastAsia="宋体" w:cs="Arial"/>
                <w:i w:val="0"/>
                <w:iCs w:val="0"/>
                <w:color w:val="000000"/>
                <w:sz w:val="21"/>
                <w:szCs w:val="21"/>
                <w:u w:val="none"/>
              </w:rPr>
            </w:pPr>
          </w:p>
        </w:tc>
      </w:tr>
      <w:tr w14:paraId="157F1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F6EFB">
            <w:pPr>
              <w:ind w:left="-50" w:leftChars="0" w:right="-50" w:rightChars="0"/>
              <w:jc w:val="center"/>
              <w:rPr>
                <w:rFonts w:hint="default" w:ascii="Arial" w:hAnsi="Arial" w:eastAsia="宋体" w:cs="Arial"/>
                <w:i w:val="0"/>
                <w:iCs w:val="0"/>
                <w:color w:val="000000"/>
                <w:sz w:val="21"/>
                <w:szCs w:val="21"/>
                <w:u w:val="none"/>
              </w:rPr>
            </w:pPr>
            <w:r>
              <w:rPr>
                <w:rFonts w:hint="eastAsia" w:ascii="仿宋" w:hAnsi="仿宋" w:eastAsia="仿宋" w:cs="仿宋"/>
                <w:b/>
                <w:bCs w:val="0"/>
                <w:color w:val="auto"/>
                <w:sz w:val="20"/>
                <w:szCs w:val="20"/>
                <w:highlight w:val="none"/>
                <w:lang w:val="en-US" w:eastAsia="zh-CN"/>
              </w:rPr>
              <w:t>前牙美学蜡型堆塑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9FB9">
            <w:pPr>
              <w:ind w:left="-50" w:leftChars="0" w:right="-50" w:rightChars="0"/>
              <w:jc w:val="center"/>
              <w:rPr>
                <w:rFonts w:hint="default" w:ascii="Arial" w:hAnsi="Arial" w:eastAsia="宋体" w:cs="Arial"/>
                <w:i w:val="0"/>
                <w:iCs w:val="0"/>
                <w:color w:val="000000"/>
                <w:sz w:val="21"/>
                <w:szCs w:val="21"/>
                <w:u w:val="none"/>
              </w:rPr>
            </w:pPr>
            <w:r>
              <w:rPr>
                <w:rFonts w:hint="eastAsia" w:ascii="仿宋" w:hAnsi="仿宋" w:eastAsia="仿宋" w:cs="仿宋"/>
                <w:b/>
                <w:bCs w:val="0"/>
                <w:color w:val="auto"/>
                <w:sz w:val="20"/>
                <w:szCs w:val="20"/>
                <w:highlight w:val="none"/>
                <w:lang w:val="en-US" w:eastAsia="zh-CN"/>
              </w:rPr>
              <w:t>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F6520">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F05CC">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lang w:val="en-US" w:eastAsia="zh-CN"/>
              </w:rPr>
              <w:t>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DD38">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lang w:val="en-US" w:eastAsia="zh-CN"/>
              </w:rPr>
              <w:t>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56EFD">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lang w:val="en-US" w:eastAsia="zh-CN"/>
              </w:rPr>
              <w:t>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BBEBC">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lang w:val="en-US" w:eastAsia="zh-CN"/>
              </w:rPr>
              <w:t>5</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9EAB">
            <w:pPr>
              <w:jc w:val="center"/>
              <w:rPr>
                <w:rFonts w:hint="default" w:ascii="Arial" w:hAnsi="Arial" w:eastAsia="宋体" w:cs="Arial"/>
                <w:i w:val="0"/>
                <w:iCs w:val="0"/>
                <w:color w:val="000000"/>
                <w:sz w:val="21"/>
                <w:szCs w:val="21"/>
                <w:u w:val="none"/>
              </w:rPr>
            </w:pPr>
          </w:p>
        </w:tc>
      </w:tr>
      <w:tr w14:paraId="2B0C3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3F8B">
            <w:pPr>
              <w:ind w:left="-50" w:leftChars="0" w:right="-50" w:rightChars="0"/>
              <w:jc w:val="center"/>
              <w:rPr>
                <w:rFonts w:hint="default" w:ascii="Arial" w:hAnsi="Arial" w:eastAsia="宋体" w:cs="Arial"/>
                <w:i w:val="0"/>
                <w:iCs w:val="0"/>
                <w:color w:val="000000"/>
                <w:sz w:val="21"/>
                <w:szCs w:val="21"/>
                <w:u w:val="none"/>
              </w:rPr>
            </w:pPr>
            <w:r>
              <w:rPr>
                <w:rFonts w:hint="eastAsia" w:ascii="仿宋" w:hAnsi="仿宋" w:eastAsia="仿宋" w:cs="仿宋"/>
                <w:b/>
                <w:bCs w:val="0"/>
                <w:color w:val="auto"/>
                <w:sz w:val="20"/>
                <w:szCs w:val="20"/>
                <w:highlight w:val="none"/>
                <w:lang w:val="en-US" w:eastAsia="zh-CN"/>
              </w:rPr>
              <w:t>数字化CAD/CAM能力提升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804C">
            <w:pPr>
              <w:ind w:left="-50" w:leftChars="0" w:right="-50" w:rightChars="0"/>
              <w:jc w:val="center"/>
              <w:rPr>
                <w:rFonts w:hint="default" w:ascii="Arial" w:hAnsi="Arial" w:eastAsia="宋体" w:cs="Arial"/>
                <w:i w:val="0"/>
                <w:iCs w:val="0"/>
                <w:color w:val="000000"/>
                <w:sz w:val="21"/>
                <w:szCs w:val="21"/>
                <w:u w:val="none"/>
              </w:rPr>
            </w:pPr>
            <w:r>
              <w:rPr>
                <w:rFonts w:hint="eastAsia" w:ascii="仿宋" w:hAnsi="仿宋" w:eastAsia="仿宋" w:cs="仿宋"/>
                <w:b/>
                <w:bCs w:val="0"/>
                <w:color w:val="auto"/>
                <w:sz w:val="20"/>
                <w:szCs w:val="20"/>
                <w:highlight w:val="none"/>
                <w:lang w:val="en-US" w:eastAsia="zh-CN"/>
              </w:rPr>
              <w:t>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E679">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6169B">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lang w:val="en-US" w:eastAsia="zh-CN"/>
              </w:rPr>
              <w:t>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8D2CE">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lang w:val="en-US" w:eastAsia="zh-CN"/>
              </w:rPr>
              <w:t>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98AF1">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lang w:val="en-US" w:eastAsia="zh-CN"/>
              </w:rPr>
              <w:t>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FF96">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lang w:val="en-US" w:eastAsia="zh-CN"/>
              </w:rPr>
              <w:t>5</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97112">
            <w:pPr>
              <w:jc w:val="center"/>
              <w:rPr>
                <w:rFonts w:hint="default" w:ascii="Arial" w:hAnsi="Arial" w:eastAsia="宋体" w:cs="Arial"/>
                <w:i w:val="0"/>
                <w:iCs w:val="0"/>
                <w:color w:val="000000"/>
                <w:sz w:val="21"/>
                <w:szCs w:val="21"/>
                <w:u w:val="none"/>
              </w:rPr>
            </w:pPr>
          </w:p>
        </w:tc>
      </w:tr>
      <w:tr w14:paraId="718BA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CE8B">
            <w:pPr>
              <w:ind w:left="-50" w:leftChars="0" w:right="-50" w:rightChars="0"/>
              <w:jc w:val="center"/>
              <w:rPr>
                <w:rFonts w:hint="default" w:ascii="Arial" w:hAnsi="Arial" w:eastAsia="宋体" w:cs="Arial"/>
                <w:i w:val="0"/>
                <w:iCs w:val="0"/>
                <w:color w:val="000000"/>
                <w:sz w:val="21"/>
                <w:szCs w:val="21"/>
                <w:u w:val="none"/>
              </w:rPr>
            </w:pPr>
            <w:r>
              <w:rPr>
                <w:rFonts w:hint="eastAsia" w:ascii="仿宋" w:hAnsi="仿宋" w:eastAsia="仿宋" w:cs="仿宋"/>
                <w:b/>
                <w:bCs w:val="0"/>
                <w:color w:val="auto"/>
                <w:sz w:val="20"/>
                <w:szCs w:val="20"/>
                <w:highlight w:val="none"/>
                <w:lang w:val="en-US" w:eastAsia="zh-CN"/>
              </w:rPr>
              <w:t>口腔医学技术执业资格考试</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99FD">
            <w:pPr>
              <w:ind w:left="-50" w:leftChars="0" w:right="-50" w:rightChars="0"/>
              <w:jc w:val="center"/>
              <w:rPr>
                <w:rFonts w:hint="default" w:ascii="Arial" w:hAnsi="Arial" w:eastAsia="宋体" w:cs="Arial"/>
                <w:i w:val="0"/>
                <w:iCs w:val="0"/>
                <w:color w:val="000000"/>
                <w:sz w:val="21"/>
                <w:szCs w:val="21"/>
                <w:u w:val="none"/>
              </w:rPr>
            </w:pPr>
            <w:r>
              <w:rPr>
                <w:rFonts w:hint="eastAsia" w:ascii="仿宋" w:hAnsi="仿宋" w:eastAsia="仿宋" w:cs="仿宋"/>
                <w:b/>
                <w:bCs w:val="0"/>
                <w:color w:val="auto"/>
                <w:sz w:val="20"/>
                <w:szCs w:val="20"/>
                <w:highlight w:val="none"/>
                <w:lang w:val="en-US" w:eastAsia="zh-CN"/>
              </w:rPr>
              <w:t>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7C10C">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BAC7">
            <w:pPr>
              <w:jc w:val="center"/>
              <w:rPr>
                <w:rFonts w:hint="default" w:ascii="Arial" w:hAnsi="Arial" w:eastAsia="宋体" w:cs="Arial"/>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00DF">
            <w:pPr>
              <w:jc w:val="center"/>
              <w:rPr>
                <w:rFonts w:hint="default" w:ascii="Arial" w:hAnsi="Arial" w:eastAsia="宋体" w:cs="Arial"/>
                <w:i w:val="0"/>
                <w:iCs w:val="0"/>
                <w:color w:val="000000"/>
                <w:sz w:val="21"/>
                <w:szCs w:val="21"/>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5D638">
            <w:pPr>
              <w:jc w:val="center"/>
              <w:rPr>
                <w:rFonts w:hint="default" w:ascii="Arial" w:hAnsi="Arial" w:eastAsia="宋体" w:cs="Arial"/>
                <w:i w:val="0"/>
                <w:iCs w:val="0"/>
                <w:color w:val="000000"/>
                <w:sz w:val="21"/>
                <w:szCs w:val="21"/>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3855">
            <w:pPr>
              <w:jc w:val="center"/>
              <w:rPr>
                <w:rFonts w:hint="default" w:ascii="Arial" w:hAnsi="Arial" w:eastAsia="宋体" w:cs="Arial"/>
                <w:i w:val="0"/>
                <w:iCs w:val="0"/>
                <w:color w:val="000000"/>
                <w:sz w:val="21"/>
                <w:szCs w:val="21"/>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73D0D">
            <w:pPr>
              <w:jc w:val="center"/>
              <w:rPr>
                <w:rFonts w:hint="default" w:ascii="Arial" w:hAnsi="Arial" w:eastAsia="宋体" w:cs="Arial"/>
                <w:i w:val="0"/>
                <w:iCs w:val="0"/>
                <w:color w:val="000000"/>
                <w:sz w:val="21"/>
                <w:szCs w:val="21"/>
                <w:u w:val="none"/>
              </w:rPr>
            </w:pPr>
            <w:r>
              <w:rPr>
                <w:rFonts w:hint="eastAsia" w:ascii="仿宋" w:hAnsi="仿宋" w:eastAsia="仿宋" w:cs="仿宋"/>
                <w:b/>
                <w:bCs w:val="0"/>
                <w:i w:val="0"/>
                <w:iCs w:val="0"/>
                <w:color w:val="auto"/>
                <w:sz w:val="20"/>
                <w:szCs w:val="20"/>
                <w:u w:val="none"/>
                <w:lang w:val="en-US" w:eastAsia="zh-CN"/>
              </w:rPr>
              <w:t>1</w:t>
            </w:r>
            <w:r>
              <w:rPr>
                <w:rFonts w:hint="eastAsia" w:ascii="仿宋" w:hAnsi="仿宋" w:eastAsia="仿宋" w:cs="仿宋"/>
                <w:b/>
                <w:bCs w:val="0"/>
                <w:i w:val="0"/>
                <w:iCs w:val="0"/>
                <w:color w:val="auto"/>
                <w:sz w:val="20"/>
                <w:szCs w:val="20"/>
                <w:u w:val="none"/>
              </w:rPr>
              <w:t>0</w:t>
            </w:r>
          </w:p>
        </w:tc>
      </w:tr>
      <w:tr w14:paraId="084A7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5BADE">
            <w:pPr>
              <w:keepNext w:val="0"/>
              <w:keepLines w:val="0"/>
              <w:pageBreakBefore w:val="0"/>
              <w:widowControl/>
              <w:kinsoku/>
              <w:wordWrap/>
              <w:topLinePunct w:val="0"/>
              <w:bidi w:val="0"/>
              <w:jc w:val="center"/>
              <w:rPr>
                <w:rFonts w:hint="default" w:ascii="Arial" w:hAnsi="Arial" w:eastAsia="宋体" w:cs="Arial"/>
                <w:i w:val="0"/>
                <w:iCs w:val="0"/>
                <w:color w:val="000000"/>
                <w:sz w:val="21"/>
                <w:szCs w:val="21"/>
                <w:highlight w:val="none"/>
                <w:u w:val="none"/>
              </w:rPr>
            </w:pPr>
            <w:r>
              <w:rPr>
                <w:rFonts w:hint="eastAsia" w:ascii="仿宋" w:hAnsi="仿宋" w:eastAsia="仿宋" w:cs="仿宋"/>
                <w:b/>
                <w:bCs w:val="0"/>
                <w:color w:val="auto"/>
                <w:kern w:val="0"/>
                <w:sz w:val="20"/>
                <w:szCs w:val="20"/>
                <w:highlight w:val="none"/>
                <w:lang w:val="en-US" w:eastAsia="zh-CN"/>
              </w:rPr>
              <w:t>劳动教育</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6C7D2">
            <w:pPr>
              <w:keepNext w:val="0"/>
              <w:keepLines w:val="0"/>
              <w:pageBreakBefore w:val="0"/>
              <w:kinsoku/>
              <w:wordWrap/>
              <w:topLinePunct w:val="0"/>
              <w:bidi w:val="0"/>
              <w:ind w:left="-50" w:leftChars="0" w:right="-50" w:rightChars="0"/>
              <w:jc w:val="center"/>
              <w:rPr>
                <w:rFonts w:hint="default" w:ascii="Arial" w:hAnsi="Arial" w:eastAsia="宋体" w:cs="Arial"/>
                <w:i w:val="0"/>
                <w:iCs w:val="0"/>
                <w:color w:val="000000"/>
                <w:sz w:val="21"/>
                <w:szCs w:val="21"/>
                <w:highlight w:val="none"/>
                <w:u w:val="none"/>
              </w:rPr>
            </w:pPr>
            <w:r>
              <w:rPr>
                <w:rFonts w:hint="eastAsia" w:ascii="仿宋" w:hAnsi="仿宋" w:eastAsia="仿宋" w:cs="仿宋"/>
                <w:b/>
                <w:bCs w:val="0"/>
                <w:color w:val="auto"/>
                <w:sz w:val="20"/>
                <w:szCs w:val="20"/>
                <w:highlight w:val="none"/>
                <w:lang w:val="en-US" w:eastAsia="zh-CN"/>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8163D">
            <w:pPr>
              <w:keepNext w:val="0"/>
              <w:keepLines w:val="0"/>
              <w:pageBreakBefore w:val="0"/>
              <w:kinsoku/>
              <w:wordWrap/>
              <w:topLinePunct w:val="0"/>
              <w:bidi w:val="0"/>
              <w:ind w:left="-50" w:leftChars="0" w:right="-50" w:rightChars="0"/>
              <w:jc w:val="center"/>
              <w:rPr>
                <w:rFonts w:hint="default" w:ascii="Arial" w:hAnsi="Arial" w:eastAsia="宋体" w:cs="Arial"/>
                <w:i w:val="0"/>
                <w:iCs w:val="0"/>
                <w:color w:val="000000"/>
                <w:sz w:val="21"/>
                <w:szCs w:val="21"/>
                <w:highlight w:val="none"/>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771E">
            <w:pPr>
              <w:keepNext w:val="0"/>
              <w:keepLines w:val="0"/>
              <w:pageBreakBefore w:val="0"/>
              <w:kinsoku/>
              <w:wordWrap/>
              <w:topLinePunct w:val="0"/>
              <w:bidi w:val="0"/>
              <w:ind w:left="-50" w:leftChars="0" w:right="-50" w:rightChars="0"/>
              <w:jc w:val="center"/>
              <w:rPr>
                <w:rFonts w:hint="default" w:ascii="Arial" w:hAnsi="Arial" w:eastAsia="宋体" w:cs="Arial"/>
                <w:i w:val="0"/>
                <w:iCs w:val="0"/>
                <w:color w:val="000000"/>
                <w:sz w:val="21"/>
                <w:szCs w:val="21"/>
                <w:highlight w:val="none"/>
                <w:u w:val="none"/>
              </w:rPr>
            </w:pPr>
            <w:r>
              <w:rPr>
                <w:rFonts w:hint="eastAsia" w:ascii="仿宋" w:hAnsi="仿宋" w:eastAsia="仿宋" w:cs="仿宋"/>
                <w:b/>
                <w:bCs w:val="0"/>
                <w:i w:val="0"/>
                <w:iCs w:val="0"/>
                <w:color w:val="auto"/>
                <w:sz w:val="20"/>
                <w:szCs w:val="20"/>
                <w:highlight w:val="none"/>
                <w:u w:val="none"/>
                <w:lang w:val="en-US" w:eastAsia="zh-CN"/>
              </w:rPr>
              <w:t>25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243A4">
            <w:pPr>
              <w:keepNext w:val="0"/>
              <w:keepLines w:val="0"/>
              <w:pageBreakBefore w:val="0"/>
              <w:kinsoku/>
              <w:wordWrap/>
              <w:topLinePunct w:val="0"/>
              <w:bidi w:val="0"/>
              <w:ind w:left="-50" w:leftChars="0" w:right="-50" w:rightChars="0"/>
              <w:jc w:val="center"/>
              <w:rPr>
                <w:rFonts w:hint="default" w:ascii="Arial" w:hAnsi="Arial" w:eastAsia="宋体" w:cs="Arial"/>
                <w:i w:val="0"/>
                <w:iCs w:val="0"/>
                <w:color w:val="000000"/>
                <w:sz w:val="21"/>
                <w:szCs w:val="21"/>
                <w:highlight w:val="none"/>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FE799">
            <w:pPr>
              <w:keepNext w:val="0"/>
              <w:keepLines w:val="0"/>
              <w:pageBreakBefore w:val="0"/>
              <w:kinsoku/>
              <w:wordWrap/>
              <w:topLinePunct w:val="0"/>
              <w:bidi w:val="0"/>
              <w:ind w:left="-50" w:leftChars="0" w:right="-50" w:rightChars="0"/>
              <w:jc w:val="center"/>
              <w:rPr>
                <w:rFonts w:hint="default" w:ascii="Arial" w:hAnsi="Arial" w:eastAsia="宋体" w:cs="Arial"/>
                <w:i w:val="0"/>
                <w:iCs w:val="0"/>
                <w:color w:val="000000"/>
                <w:sz w:val="21"/>
                <w:szCs w:val="21"/>
                <w:highlight w:val="none"/>
                <w:u w:val="none"/>
              </w:rPr>
            </w:pPr>
            <w:r>
              <w:rPr>
                <w:rFonts w:hint="eastAsia" w:ascii="仿宋" w:hAnsi="仿宋" w:eastAsia="仿宋" w:cs="仿宋"/>
                <w:b/>
                <w:bCs w:val="0"/>
                <w:i w:val="0"/>
                <w:iCs w:val="0"/>
                <w:color w:val="auto"/>
                <w:sz w:val="20"/>
                <w:szCs w:val="20"/>
                <w:highlight w:val="none"/>
                <w:u w:val="none"/>
                <w:lang w:val="en-US" w:eastAsia="zh-CN"/>
              </w:rPr>
              <w:t>25</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9995F">
            <w:pPr>
              <w:keepNext w:val="0"/>
              <w:keepLines w:val="0"/>
              <w:pageBreakBefore w:val="0"/>
              <w:kinsoku/>
              <w:wordWrap/>
              <w:topLinePunct w:val="0"/>
              <w:bidi w:val="0"/>
              <w:ind w:left="-50" w:leftChars="0" w:right="-50" w:rightChars="0"/>
              <w:jc w:val="center"/>
              <w:rPr>
                <w:rFonts w:hint="default" w:ascii="Arial" w:hAnsi="Arial" w:eastAsia="宋体" w:cs="Arial"/>
                <w:i w:val="0"/>
                <w:iCs w:val="0"/>
                <w:color w:val="000000"/>
                <w:sz w:val="21"/>
                <w:szCs w:val="21"/>
                <w:highlight w:val="none"/>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8CDE">
            <w:pPr>
              <w:keepNext w:val="0"/>
              <w:keepLines w:val="0"/>
              <w:pageBreakBefore w:val="0"/>
              <w:kinsoku/>
              <w:wordWrap/>
              <w:topLinePunct w:val="0"/>
              <w:bidi w:val="0"/>
              <w:ind w:left="-50" w:leftChars="0" w:right="-50" w:rightChars="0"/>
              <w:jc w:val="center"/>
              <w:rPr>
                <w:rFonts w:hint="default" w:ascii="Arial" w:hAnsi="Arial" w:eastAsia="宋体" w:cs="Arial"/>
                <w:i w:val="0"/>
                <w:iCs w:val="0"/>
                <w:color w:val="000000"/>
                <w:sz w:val="21"/>
                <w:szCs w:val="21"/>
                <w:highlight w:val="yellow"/>
                <w:u w:val="none"/>
              </w:rPr>
            </w:pPr>
          </w:p>
        </w:tc>
      </w:tr>
      <w:tr w14:paraId="5F0A4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trPr>
        <w:tc>
          <w:tcPr>
            <w:tcW w:w="36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40F8">
            <w:pPr>
              <w:jc w:val="center"/>
              <w:rPr>
                <w:rFonts w:hint="eastAsia" w:ascii="Arial" w:hAnsi="Arial" w:eastAsia="宋体" w:cs="Arial"/>
                <w:i w:val="0"/>
                <w:iCs w:val="0"/>
                <w:color w:val="000000"/>
                <w:sz w:val="21"/>
                <w:szCs w:val="21"/>
                <w:u w:val="none"/>
                <w:lang w:val="en-US" w:eastAsia="zh-CN"/>
              </w:rPr>
            </w:pPr>
            <w:r>
              <w:rPr>
                <w:rFonts w:hint="eastAsia" w:eastAsia="宋体" w:cs="Arial"/>
                <w:i w:val="0"/>
                <w:iCs w:val="0"/>
                <w:color w:val="000000"/>
                <w:sz w:val="21"/>
                <w:szCs w:val="21"/>
                <w:u w:val="none"/>
                <w:lang w:val="en-US" w:eastAsia="zh-CN"/>
              </w:rPr>
              <w:t>合计</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92FE9">
            <w:pPr>
              <w:jc w:val="center"/>
              <w:rPr>
                <w:rFonts w:hint="eastAsia" w:ascii="Arial" w:hAnsi="Arial" w:eastAsia="宋体" w:cs="Arial"/>
                <w:i w:val="0"/>
                <w:iCs w:val="0"/>
                <w:color w:val="000000"/>
                <w:sz w:val="21"/>
                <w:szCs w:val="21"/>
                <w:u w:val="none"/>
                <w:lang w:val="en-US" w:eastAsia="zh-CN"/>
              </w:rPr>
            </w:pPr>
            <w:r>
              <w:rPr>
                <w:rFonts w:hint="eastAsia" w:eastAsia="宋体" w:cs="Arial"/>
                <w:i w:val="0"/>
                <w:iCs w:val="0"/>
                <w:color w:val="000000"/>
                <w:sz w:val="21"/>
                <w:szCs w:val="21"/>
                <w:u w:val="none"/>
                <w:lang w:val="en-US" w:eastAsia="zh-CN"/>
              </w:rPr>
              <w:t>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D28F">
            <w:pPr>
              <w:jc w:val="center"/>
              <w:rPr>
                <w:rFonts w:hint="eastAsia" w:ascii="Arial" w:hAnsi="Arial" w:eastAsia="宋体" w:cs="Arial"/>
                <w:i w:val="0"/>
                <w:iCs w:val="0"/>
                <w:color w:val="000000"/>
                <w:sz w:val="21"/>
                <w:szCs w:val="21"/>
                <w:u w:val="none"/>
                <w:lang w:val="en-US" w:eastAsia="zh-CN"/>
              </w:rPr>
            </w:pPr>
            <w:r>
              <w:rPr>
                <w:rFonts w:hint="eastAsia" w:eastAsia="宋体" w:cs="Arial"/>
                <w:i w:val="0"/>
                <w:iCs w:val="0"/>
                <w:color w:val="000000"/>
                <w:sz w:val="21"/>
                <w:szCs w:val="21"/>
                <w:u w:val="none"/>
                <w:lang w:val="en-US" w:eastAsia="zh-CN"/>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4E44">
            <w:pPr>
              <w:jc w:val="center"/>
              <w:rPr>
                <w:rFonts w:hint="default" w:ascii="Arial" w:hAnsi="Arial" w:eastAsia="宋体" w:cs="Arial"/>
                <w:i w:val="0"/>
                <w:iCs w:val="0"/>
                <w:color w:val="000000"/>
                <w:sz w:val="21"/>
                <w:szCs w:val="21"/>
                <w:u w:val="none"/>
                <w:lang w:val="en-US" w:eastAsia="zh-CN"/>
              </w:rPr>
            </w:pPr>
            <w:r>
              <w:rPr>
                <w:rFonts w:hint="eastAsia" w:eastAsia="宋体" w:cs="Arial"/>
                <w:i w:val="0"/>
                <w:iCs w:val="0"/>
                <w:color w:val="000000"/>
                <w:sz w:val="21"/>
                <w:szCs w:val="21"/>
                <w:u w:val="none"/>
                <w:lang w:val="en-US" w:eastAsia="zh-CN"/>
              </w:rPr>
              <w:t>40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52CAE">
            <w:pPr>
              <w:jc w:val="center"/>
              <w:rPr>
                <w:rFonts w:hint="default" w:ascii="Arial" w:hAnsi="Arial" w:eastAsia="宋体" w:cs="Arial"/>
                <w:i w:val="0"/>
                <w:iCs w:val="0"/>
                <w:color w:val="000000"/>
                <w:sz w:val="21"/>
                <w:szCs w:val="21"/>
                <w:u w:val="none"/>
                <w:lang w:val="en-US" w:eastAsia="zh-CN"/>
              </w:rPr>
            </w:pPr>
            <w:r>
              <w:rPr>
                <w:rFonts w:hint="eastAsia" w:eastAsia="宋体" w:cs="Arial"/>
                <w:i w:val="0"/>
                <w:iCs w:val="0"/>
                <w:color w:val="000000"/>
                <w:sz w:val="21"/>
                <w:szCs w:val="21"/>
                <w:u w:val="none"/>
                <w:lang w:val="en-US" w:eastAsia="zh-CN"/>
              </w:rPr>
              <w:t>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E4C8">
            <w:pPr>
              <w:jc w:val="center"/>
              <w:rPr>
                <w:rFonts w:hint="default" w:ascii="Arial" w:hAnsi="Arial" w:eastAsia="宋体" w:cs="Arial"/>
                <w:i w:val="0"/>
                <w:iCs w:val="0"/>
                <w:color w:val="000000"/>
                <w:sz w:val="21"/>
                <w:szCs w:val="21"/>
                <w:u w:val="none"/>
                <w:lang w:val="en-US" w:eastAsia="zh-CN"/>
              </w:rPr>
            </w:pPr>
            <w:r>
              <w:rPr>
                <w:rFonts w:hint="eastAsia" w:eastAsia="宋体" w:cs="Arial"/>
                <w:i w:val="0"/>
                <w:iCs w:val="0"/>
                <w:color w:val="000000"/>
                <w:sz w:val="21"/>
                <w:szCs w:val="21"/>
                <w:u w:val="none"/>
                <w:lang w:val="en-US" w:eastAsia="zh-CN"/>
              </w:rPr>
              <w:t>40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870C">
            <w:pPr>
              <w:jc w:val="center"/>
              <w:rPr>
                <w:rFonts w:hint="default" w:ascii="Arial" w:hAnsi="Arial" w:eastAsia="宋体" w:cs="Arial"/>
                <w:i w:val="0"/>
                <w:iCs w:val="0"/>
                <w:color w:val="000000"/>
                <w:sz w:val="21"/>
                <w:szCs w:val="21"/>
                <w:u w:val="none"/>
                <w:lang w:val="en-US" w:eastAsia="zh-CN"/>
              </w:rPr>
            </w:pPr>
            <w:r>
              <w:rPr>
                <w:rFonts w:hint="eastAsia" w:eastAsia="宋体" w:cs="Arial"/>
                <w:i w:val="0"/>
                <w:iCs w:val="0"/>
                <w:color w:val="000000"/>
                <w:sz w:val="21"/>
                <w:szCs w:val="21"/>
                <w:u w:val="none"/>
                <w:lang w:val="en-US" w:eastAsia="zh-CN"/>
              </w:rPr>
              <w:t>15</w:t>
            </w:r>
          </w:p>
        </w:tc>
        <w:tc>
          <w:tcPr>
            <w:tcW w:w="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26FDC">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10</w:t>
            </w:r>
          </w:p>
        </w:tc>
      </w:tr>
    </w:tbl>
    <w:p w14:paraId="300A4D90">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rPr>
          <w:rFonts w:hint="eastAsia"/>
          <w:lang w:val="en-US" w:eastAsia="zh-CN"/>
        </w:rPr>
      </w:pPr>
      <w:bookmarkStart w:id="31" w:name="_Toc29660"/>
      <w:bookmarkStart w:id="32" w:name="_Toc3441"/>
      <w:r>
        <w:t>（四）实践教学安排表</w:t>
      </w:r>
      <w:bookmarkEnd w:id="31"/>
      <w:bookmarkEnd w:id="32"/>
    </w:p>
    <w:tbl>
      <w:tblPr>
        <w:tblStyle w:val="8"/>
        <w:tblW w:w="905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93"/>
        <w:gridCol w:w="784"/>
        <w:gridCol w:w="1017"/>
        <w:gridCol w:w="783"/>
        <w:gridCol w:w="817"/>
        <w:gridCol w:w="3757"/>
      </w:tblGrid>
      <w:tr w14:paraId="76E0B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exact"/>
        </w:trPr>
        <w:tc>
          <w:tcPr>
            <w:tcW w:w="1893" w:type="dxa"/>
            <w:vMerge w:val="restart"/>
            <w:tcBorders>
              <w:top w:val="single" w:color="000000" w:sz="4" w:space="0"/>
              <w:left w:val="single" w:color="000000" w:sz="4" w:space="0"/>
              <w:right w:val="single" w:color="000000" w:sz="4" w:space="0"/>
            </w:tcBorders>
            <w:shd w:val="clear" w:color="auto" w:fill="auto"/>
            <w:vAlign w:val="center"/>
          </w:tcPr>
          <w:p w14:paraId="13F1AB68">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实践性教学环节</w:t>
            </w:r>
          </w:p>
        </w:tc>
        <w:tc>
          <w:tcPr>
            <w:tcW w:w="784" w:type="dxa"/>
            <w:vMerge w:val="restart"/>
            <w:tcBorders>
              <w:top w:val="single" w:color="auto" w:sz="4" w:space="0"/>
              <w:left w:val="single" w:color="000000" w:sz="4" w:space="0"/>
              <w:right w:val="single" w:color="000000" w:sz="4" w:space="0"/>
            </w:tcBorders>
            <w:shd w:val="clear" w:color="auto" w:fill="auto"/>
            <w:vAlign w:val="center"/>
          </w:tcPr>
          <w:p w14:paraId="50E48E10">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学分</w:t>
            </w:r>
          </w:p>
        </w:tc>
        <w:tc>
          <w:tcPr>
            <w:tcW w:w="1017" w:type="dxa"/>
            <w:vMerge w:val="restart"/>
            <w:tcBorders>
              <w:top w:val="single" w:color="000000" w:sz="4" w:space="0"/>
              <w:left w:val="single" w:color="000000" w:sz="4" w:space="0"/>
              <w:right w:val="single" w:color="000000" w:sz="4" w:space="0"/>
            </w:tcBorders>
            <w:shd w:val="clear" w:color="auto" w:fill="auto"/>
            <w:vAlign w:val="center"/>
          </w:tcPr>
          <w:p w14:paraId="47FDCF1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学时</w:t>
            </w:r>
          </w:p>
        </w:tc>
        <w:tc>
          <w:tcPr>
            <w:tcW w:w="16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A64DA1">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学时分配</w:t>
            </w:r>
          </w:p>
        </w:tc>
        <w:tc>
          <w:tcPr>
            <w:tcW w:w="3757" w:type="dxa"/>
            <w:vMerge w:val="restart"/>
            <w:tcBorders>
              <w:top w:val="single" w:color="000000" w:sz="4" w:space="0"/>
              <w:left w:val="single" w:color="000000" w:sz="4" w:space="0"/>
              <w:right w:val="single" w:color="000000" w:sz="4" w:space="0"/>
            </w:tcBorders>
            <w:shd w:val="clear" w:color="auto" w:fill="auto"/>
            <w:vAlign w:val="center"/>
          </w:tcPr>
          <w:p w14:paraId="3463620F">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主要实践内容</w:t>
            </w:r>
          </w:p>
        </w:tc>
      </w:tr>
      <w:tr w14:paraId="23D26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exact"/>
        </w:trPr>
        <w:tc>
          <w:tcPr>
            <w:tcW w:w="1893" w:type="dxa"/>
            <w:vMerge w:val="continue"/>
            <w:tcBorders>
              <w:left w:val="single" w:color="000000" w:sz="4" w:space="0"/>
              <w:bottom w:val="single" w:color="000000" w:sz="4" w:space="0"/>
              <w:right w:val="single" w:color="000000" w:sz="4" w:space="0"/>
            </w:tcBorders>
            <w:shd w:val="clear" w:color="auto" w:fill="auto"/>
            <w:vAlign w:val="center"/>
          </w:tcPr>
          <w:p w14:paraId="33522510">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784" w:type="dxa"/>
            <w:vMerge w:val="continue"/>
            <w:tcBorders>
              <w:left w:val="single" w:color="000000" w:sz="4" w:space="0"/>
              <w:bottom w:val="single" w:color="000000" w:sz="4" w:space="0"/>
              <w:right w:val="single" w:color="000000" w:sz="4" w:space="0"/>
            </w:tcBorders>
            <w:shd w:val="clear" w:color="auto" w:fill="auto"/>
            <w:vAlign w:val="center"/>
          </w:tcPr>
          <w:p w14:paraId="2F06D49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lang w:val="en-US" w:eastAsia="zh-CN"/>
              </w:rPr>
            </w:pPr>
          </w:p>
        </w:tc>
        <w:tc>
          <w:tcPr>
            <w:tcW w:w="1017" w:type="dxa"/>
            <w:vMerge w:val="continue"/>
            <w:tcBorders>
              <w:left w:val="single" w:color="000000" w:sz="4" w:space="0"/>
              <w:bottom w:val="single" w:color="000000" w:sz="4" w:space="0"/>
              <w:right w:val="single" w:color="000000" w:sz="4" w:space="0"/>
            </w:tcBorders>
            <w:shd w:val="clear" w:color="auto" w:fill="auto"/>
            <w:vAlign w:val="center"/>
          </w:tcPr>
          <w:p w14:paraId="00B53D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lang w:val="en-US" w:eastAsia="zh-CN"/>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ADBB">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理论</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81D0">
            <w:pPr>
              <w:keepNext w:val="0"/>
              <w:keepLines w:val="0"/>
              <w:widowControl/>
              <w:suppressLineNumbers w:val="0"/>
              <w:jc w:val="center"/>
              <w:textAlignment w:val="center"/>
              <w:rPr>
                <w:rFonts w:hint="default"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实践</w:t>
            </w:r>
          </w:p>
        </w:tc>
        <w:tc>
          <w:tcPr>
            <w:tcW w:w="3757" w:type="dxa"/>
            <w:vMerge w:val="continue"/>
            <w:tcBorders>
              <w:left w:val="single" w:color="000000" w:sz="4" w:space="0"/>
              <w:bottom w:val="single" w:color="000000" w:sz="4" w:space="0"/>
              <w:right w:val="single" w:color="000000" w:sz="4" w:space="0"/>
            </w:tcBorders>
            <w:shd w:val="clear" w:color="auto" w:fill="auto"/>
            <w:vAlign w:val="center"/>
          </w:tcPr>
          <w:p w14:paraId="6EF56B5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lang w:val="en-US" w:eastAsia="zh-CN"/>
              </w:rPr>
            </w:pPr>
          </w:p>
        </w:tc>
      </w:tr>
      <w:tr w14:paraId="1C362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exact"/>
        </w:trPr>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57F05">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课间见习</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3EA2">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52560">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SA"/>
              </w:rPr>
              <w:t>25</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F4D5">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C838">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25</w:t>
            </w:r>
          </w:p>
        </w:tc>
        <w:tc>
          <w:tcPr>
            <w:tcW w:w="3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7B2F">
            <w:pPr>
              <w:keepNext w:val="0"/>
              <w:keepLines w:val="0"/>
              <w:pageBreakBefore w:val="0"/>
              <w:widowControl/>
              <w:kinsoku/>
              <w:wordWrap/>
              <w:overflowPunct/>
              <w:topLinePunct w:val="0"/>
              <w:autoSpaceDE w:val="0"/>
              <w:autoSpaceDN w:val="0"/>
              <w:bidi w:val="0"/>
              <w:adjustRightInd w:val="0"/>
              <w:snapToGrid w:val="0"/>
              <w:spacing w:line="240" w:lineRule="auto"/>
              <w:ind w:left="-51" w:right="-51"/>
              <w:jc w:val="left"/>
              <w:textAlignment w:val="baseline"/>
              <w:rPr>
                <w:rFonts w:hint="eastAsia" w:ascii="宋体" w:hAnsi="宋体" w:eastAsia="宋体" w:cs="宋体"/>
                <w:color w:val="auto"/>
                <w:sz w:val="20"/>
                <w:szCs w:val="20"/>
              </w:rPr>
            </w:pPr>
            <w:r>
              <w:rPr>
                <w:rFonts w:hint="eastAsia" w:ascii="宋体" w:hAnsi="宋体" w:eastAsia="宋体" w:cs="宋体"/>
                <w:color w:val="auto"/>
                <w:sz w:val="20"/>
                <w:szCs w:val="20"/>
              </w:rPr>
              <w:t>1.了解就业岗位、行业现状及发展趋势，初步形成职业规划</w:t>
            </w:r>
          </w:p>
          <w:p w14:paraId="3783CAD3">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jc w:val="left"/>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color w:val="auto"/>
                <w:sz w:val="20"/>
                <w:szCs w:val="20"/>
              </w:rPr>
              <w:t>2.了解口腔常见疾病的诊疗、预防保健等基本操作</w:t>
            </w:r>
          </w:p>
        </w:tc>
      </w:tr>
      <w:tr w14:paraId="03ADE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73" w:hRule="exact"/>
        </w:trPr>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5F46">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毕业实习</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C3BF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32</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7DB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800</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EB52">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A088B">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000000"/>
                <w:kern w:val="0"/>
                <w:sz w:val="20"/>
                <w:szCs w:val="20"/>
                <w:u w:val="none"/>
                <w:lang w:val="en-US" w:eastAsia="zh-CN" w:bidi="ar"/>
              </w:rPr>
              <w:t>800</w:t>
            </w:r>
          </w:p>
        </w:tc>
        <w:tc>
          <w:tcPr>
            <w:tcW w:w="3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12B4">
            <w:pPr>
              <w:keepNext w:val="0"/>
              <w:keepLines w:val="0"/>
              <w:pageBreakBefore w:val="0"/>
              <w:widowControl/>
              <w:kinsoku/>
              <w:wordWrap/>
              <w:overflowPunct/>
              <w:topLinePunct w:val="0"/>
              <w:autoSpaceDE w:val="0"/>
              <w:autoSpaceDN w:val="0"/>
              <w:bidi w:val="0"/>
              <w:adjustRightInd w:val="0"/>
              <w:snapToGrid w:val="0"/>
              <w:ind w:left="-50" w:right="-50"/>
              <w:jc w:val="left"/>
              <w:rPr>
                <w:rFonts w:hint="eastAsia" w:ascii="宋体" w:hAnsi="宋体" w:eastAsia="宋体" w:cs="宋体"/>
                <w:color w:val="auto"/>
                <w:sz w:val="20"/>
                <w:szCs w:val="20"/>
                <w:highlight w:val="none"/>
                <w:lang w:val="en-US" w:eastAsia="zh-CN"/>
              </w:rPr>
            </w:pPr>
            <w:r>
              <w:rPr>
                <w:rFonts w:hint="eastAsia" w:ascii="宋体" w:hAnsi="宋体" w:eastAsia="宋体" w:cs="宋体"/>
                <w:color w:val="0000FF"/>
                <w:sz w:val="20"/>
                <w:szCs w:val="20"/>
                <w:highlight w:val="none"/>
                <w:lang w:val="en-US" w:eastAsia="zh-CN"/>
              </w:rPr>
              <w:t>校内班：</w:t>
            </w:r>
            <w:r>
              <w:rPr>
                <w:rFonts w:hint="eastAsia" w:ascii="宋体" w:hAnsi="宋体" w:eastAsia="宋体" w:cs="宋体"/>
                <w:color w:val="auto"/>
                <w:sz w:val="20"/>
                <w:szCs w:val="20"/>
                <w:highlight w:val="none"/>
              </w:rPr>
              <w:t>校内实践教学依托实验室与模拟场景，聚焦基础技能训练与理论转化。学生通过仿真头模、石膏模型等教具，反复练习牙体预备、印模制取、模型灌注等基础操作，熟悉操作规范与流程；利用数字化软件与设备，开展口腔扫描、修复体三维设计等模拟实训，掌握基础应用。同时，进行诊断分析、修复方案设计演练，强化理论知识的实践运用，培养初步的临床思维能力。此外设置团队协作项目，模拟义齿加工厂生产流程，让学生体验不同岗位工作内容，提升团队合作与沟通能力</w:t>
            </w:r>
          </w:p>
          <w:p w14:paraId="2B45F7CC">
            <w:pPr>
              <w:keepNext w:val="0"/>
              <w:keepLines w:val="0"/>
              <w:pageBreakBefore w:val="0"/>
              <w:widowControl/>
              <w:kinsoku/>
              <w:wordWrap/>
              <w:overflowPunct/>
              <w:topLinePunct w:val="0"/>
              <w:autoSpaceDE w:val="0"/>
              <w:autoSpaceDN w:val="0"/>
              <w:bidi w:val="0"/>
              <w:adjustRightInd w:val="0"/>
              <w:snapToGrid w:val="0"/>
              <w:ind w:left="-50" w:leftChars="0" w:right="-50" w:rightChars="0"/>
              <w:jc w:val="left"/>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color w:val="0000FF"/>
                <w:sz w:val="20"/>
                <w:szCs w:val="20"/>
                <w:highlight w:val="none"/>
                <w:lang w:val="en-US" w:eastAsia="zh-CN"/>
              </w:rPr>
              <w:t>校外班：</w:t>
            </w:r>
            <w:r>
              <w:rPr>
                <w:rFonts w:hint="eastAsia" w:ascii="宋体" w:hAnsi="宋体" w:eastAsia="宋体" w:cs="宋体"/>
                <w:color w:val="auto"/>
                <w:sz w:val="20"/>
                <w:szCs w:val="20"/>
                <w:highlight w:val="none"/>
              </w:rPr>
              <w:t>校外扎根真实工作场景，注重综合实践能力与职业素养提升。在义齿加工厂，学生参与从接收病例、设计制作到质量检测的全流程生产，接触先进数字化设备与生产工艺，学习企业标准化操作规范与</w:t>
            </w:r>
            <w:r>
              <w:rPr>
                <w:rFonts w:hint="eastAsia" w:ascii="宋体" w:hAnsi="宋体" w:eastAsia="宋体" w:cs="宋体"/>
                <w:color w:val="auto"/>
                <w:sz w:val="20"/>
                <w:szCs w:val="20"/>
                <w:highlight w:val="none"/>
                <w:lang w:eastAsia="zh-CN"/>
              </w:rPr>
              <w:t>质量管理体系</w:t>
            </w:r>
            <w:r>
              <w:rPr>
                <w:rFonts w:hint="eastAsia" w:ascii="宋体" w:hAnsi="宋体" w:eastAsia="宋体" w:cs="宋体"/>
                <w:color w:val="auto"/>
                <w:sz w:val="20"/>
                <w:szCs w:val="20"/>
                <w:highlight w:val="none"/>
              </w:rPr>
              <w:t>，熟练掌握复杂修复体的制作技术</w:t>
            </w:r>
            <w:r>
              <w:rPr>
                <w:rFonts w:hint="eastAsia" w:ascii="宋体" w:hAnsi="宋体" w:eastAsia="宋体" w:cs="宋体"/>
                <w:color w:val="auto"/>
                <w:sz w:val="20"/>
                <w:szCs w:val="20"/>
                <w:highlight w:val="none"/>
                <w:lang w:eastAsia="zh-CN"/>
              </w:rPr>
              <w:t>。</w:t>
            </w:r>
            <w:r>
              <w:rPr>
                <w:rFonts w:hint="eastAsia" w:ascii="宋体" w:hAnsi="宋体" w:eastAsia="宋体" w:cs="宋体"/>
                <w:color w:val="auto"/>
                <w:sz w:val="20"/>
                <w:szCs w:val="20"/>
                <w:highlight w:val="none"/>
              </w:rPr>
              <w:t>此学生还需了解行业前沿动态，参与新技术应用项目，在实践中深化对专业知识的理解，培养独立解决实际问题的能力，完成从学生到职业人的角色转变</w:t>
            </w:r>
            <w:r>
              <w:rPr>
                <w:rFonts w:hint="eastAsia" w:ascii="宋体" w:hAnsi="宋体" w:eastAsia="宋体" w:cs="宋体"/>
                <w:color w:val="auto"/>
                <w:sz w:val="20"/>
                <w:szCs w:val="20"/>
                <w:highlight w:val="none"/>
                <w:lang w:eastAsia="zh-CN"/>
              </w:rPr>
              <w:t>。</w:t>
            </w:r>
          </w:p>
        </w:tc>
      </w:tr>
      <w:tr w14:paraId="2D084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8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DEEA">
            <w:pPr>
              <w:keepNext w:val="0"/>
              <w:keepLines w:val="0"/>
              <w:widowControl/>
              <w:suppressLineNumbers w:val="0"/>
              <w:jc w:val="center"/>
              <w:textAlignment w:val="center"/>
              <w:rPr>
                <w:rFonts w:hint="default"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小计</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494F">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auto"/>
                <w:kern w:val="0"/>
                <w:sz w:val="20"/>
                <w:szCs w:val="20"/>
                <w:u w:val="none"/>
                <w:lang w:val="en-US" w:eastAsia="zh-CN" w:bidi="ar"/>
              </w:rPr>
              <w:t>33</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1F86">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auto"/>
                <w:sz w:val="20"/>
                <w:szCs w:val="20"/>
                <w:u w:val="none"/>
                <w:lang w:val="en-US" w:eastAsia="zh-CN"/>
              </w:rPr>
              <w:t>825</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B87CC">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auto"/>
                <w:kern w:val="0"/>
                <w:sz w:val="20"/>
                <w:szCs w:val="20"/>
                <w:u w:val="none"/>
                <w:lang w:val="en-US" w:eastAsia="zh-CN" w:bidi="ar"/>
              </w:rPr>
              <w:t>0</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20ED">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r>
              <w:rPr>
                <w:rFonts w:hint="eastAsia" w:ascii="宋体" w:hAnsi="宋体" w:eastAsia="宋体" w:cs="宋体"/>
                <w:i w:val="0"/>
                <w:iCs w:val="0"/>
                <w:snapToGrid w:val="0"/>
                <w:color w:val="auto"/>
                <w:kern w:val="0"/>
                <w:sz w:val="20"/>
                <w:szCs w:val="20"/>
                <w:u w:val="none"/>
                <w:lang w:val="en-US" w:eastAsia="zh-CN" w:bidi="ar"/>
              </w:rPr>
              <w:t>825</w:t>
            </w:r>
          </w:p>
        </w:tc>
        <w:tc>
          <w:tcPr>
            <w:tcW w:w="3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526AE">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p>
        </w:tc>
      </w:tr>
    </w:tbl>
    <w:p w14:paraId="30054EAB">
      <w:pPr>
        <w:ind w:firstLine="556" w:firstLineChars="200"/>
        <w:rPr>
          <w:rFonts w:hint="eastAsia" w:ascii="仿宋" w:hAnsi="仿宋" w:eastAsia="仿宋" w:cs="仿宋"/>
          <w:b w:val="0"/>
          <w:bCs/>
          <w:snapToGrid w:val="0"/>
          <w:color w:val="auto"/>
          <w:spacing w:val="-1"/>
          <w:kern w:val="0"/>
          <w:sz w:val="28"/>
          <w:szCs w:val="28"/>
          <w:lang w:val="en-US" w:eastAsia="zh-CN" w:bidi="ar-SA"/>
        </w:rPr>
      </w:pPr>
      <w:r>
        <w:rPr>
          <w:rFonts w:hint="eastAsia" w:ascii="仿宋" w:hAnsi="仿宋" w:eastAsia="仿宋" w:cs="仿宋"/>
          <w:b w:val="0"/>
          <w:bCs/>
          <w:snapToGrid w:val="0"/>
          <w:color w:val="auto"/>
          <w:spacing w:val="-1"/>
          <w:kern w:val="0"/>
          <w:sz w:val="28"/>
          <w:szCs w:val="28"/>
          <w:lang w:val="en-US" w:eastAsia="zh-CN" w:bidi="ar-SA"/>
        </w:rPr>
        <w:t>集中实践教学环节主要包括教学见习和毕业实习，均在校外实训基地完成。学生管理严格执行《甘肃卫生职业学院学生实习管理规定》。具体安排如下：</w:t>
      </w:r>
    </w:p>
    <w:p w14:paraId="5DEDA05F">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right="465" w:rightChars="0" w:firstLine="556" w:firstLineChars="200"/>
        <w:textAlignment w:val="baseline"/>
        <w:rPr>
          <w:rFonts w:hint="eastAsia"/>
          <w:b w:val="0"/>
          <w:bCs/>
          <w:color w:val="auto"/>
          <w:spacing w:val="-1"/>
          <w:sz w:val="28"/>
          <w:szCs w:val="28"/>
          <w:lang w:val="en-US" w:eastAsia="zh-CN"/>
        </w:rPr>
      </w:pPr>
      <w:r>
        <w:rPr>
          <w:rFonts w:hint="eastAsia"/>
          <w:b w:val="0"/>
          <w:bCs/>
          <w:color w:val="auto"/>
          <w:spacing w:val="-1"/>
          <w:sz w:val="28"/>
          <w:szCs w:val="28"/>
          <w:lang w:val="en-US" w:eastAsia="zh-CN"/>
        </w:rPr>
        <w:t>1.教学见习：第3、4学期安排学生在义齿加工企业见习1周。学生了解就业岗位、行业现状及发展趋势，初步形成职业规划；明确口腔医学技术专业典型工作任务，初步了解口腔常见修复体的制作流程。</w:t>
      </w:r>
    </w:p>
    <w:p w14:paraId="37CBB1C5">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right="465" w:rightChars="0" w:firstLine="556" w:firstLineChars="200"/>
        <w:textAlignment w:val="baseline"/>
        <w:rPr>
          <w:rFonts w:hint="eastAsia"/>
          <w:b w:val="0"/>
          <w:bCs/>
          <w:color w:val="auto"/>
          <w:spacing w:val="-1"/>
          <w:sz w:val="28"/>
          <w:szCs w:val="28"/>
          <w:lang w:val="en-US" w:eastAsia="zh-CN"/>
        </w:rPr>
      </w:pPr>
      <w:r>
        <w:rPr>
          <w:rFonts w:hint="eastAsia"/>
          <w:b w:val="0"/>
          <w:bCs/>
          <w:color w:val="auto"/>
          <w:spacing w:val="-1"/>
          <w:sz w:val="28"/>
          <w:szCs w:val="28"/>
          <w:lang w:val="en-US" w:eastAsia="zh-CN"/>
        </w:rPr>
        <w:t>2.毕业实习：毕业实习32周，实习生主要分布于深圳康泰健医疗科技股份有限公司、现代牙科技术（东莞）有限公司、佛山市智能臻德齿科有限公司、泰州市奥美齿科制品有限公司、贵州永美健医疗器械有限公司、深圳市金悠然科技有限公司、深圳金羿医疗科技有限公司、深圳坤立科技有限公司、银川东兴义齿有限公司、甘肃东兴义齿有限公司、甘肃群益义齿有限公司、甘肃鑫大正义齿有限公司、又见臻威（甘肃）医疗器械设备有限公司、兰州荣光数字化口腔技术中心，通过实习，掌握口腔常见修复体的设计与制作。</w:t>
      </w:r>
    </w:p>
    <w:p w14:paraId="656AE107">
      <w:pPr>
        <w:pStyle w:val="4"/>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right="465" w:rightChars="0" w:firstLine="556" w:firstLineChars="200"/>
        <w:textAlignment w:val="baseline"/>
        <w:rPr>
          <w:rFonts w:hint="default" w:ascii="Times New Roman" w:hAnsi="Times New Roman" w:cs="Times New Roman"/>
          <w:b w:val="0"/>
          <w:bCs/>
          <w:color w:val="auto"/>
          <w:spacing w:val="-1"/>
          <w:sz w:val="28"/>
          <w:szCs w:val="28"/>
          <w:highlight w:val="none"/>
          <w:lang w:val="en-US" w:eastAsia="zh-CN"/>
        </w:rPr>
      </w:pPr>
      <w:r>
        <w:rPr>
          <w:rFonts w:hint="eastAsia"/>
          <w:b w:val="0"/>
          <w:bCs/>
          <w:color w:val="auto"/>
          <w:spacing w:val="-1"/>
          <w:sz w:val="28"/>
          <w:szCs w:val="28"/>
          <w:highlight w:val="none"/>
          <w:lang w:val="en-US" w:eastAsia="zh-CN"/>
        </w:rPr>
        <w:t>3.</w:t>
      </w:r>
      <w:r>
        <w:rPr>
          <w:rFonts w:hint="default" w:ascii="Times New Roman" w:hAnsi="Times New Roman" w:cs="Times New Roman"/>
          <w:b w:val="0"/>
          <w:bCs/>
          <w:color w:val="auto"/>
          <w:spacing w:val="-1"/>
          <w:sz w:val="28"/>
          <w:szCs w:val="28"/>
          <w:highlight w:val="none"/>
          <w:lang w:val="en-US" w:eastAsia="zh-CN"/>
        </w:rPr>
        <w:t>1.5＋0.5＋1模式</w:t>
      </w:r>
      <w:r>
        <w:rPr>
          <w:rFonts w:hint="eastAsia" w:ascii="Times New Roman" w:hAnsi="Times New Roman" w:cs="Times New Roman"/>
          <w:b w:val="0"/>
          <w:bCs/>
          <w:color w:val="auto"/>
          <w:spacing w:val="-1"/>
          <w:sz w:val="28"/>
          <w:szCs w:val="28"/>
          <w:highlight w:val="none"/>
          <w:lang w:val="en-US" w:eastAsia="zh-CN"/>
        </w:rPr>
        <w:t>：学生主要分布于深圳康泰健医疗科技股份有限公司、现代牙科技术（东莞）有限公司、佛山市智能臻德齿科有限公司、泰州市奥美齿科制品有限公司、贵州永美健医疗器械有限公司、深圳市金悠然科技有限公司、深圳金羿医疗科技有限公司、深圳坤立科技有限公司、银川东兴义齿有限公司、甘肃东兴义齿有限公司、甘肃群益义齿有限公司、甘肃鑫大正义齿有限公司、又见臻威（甘肃）医疗器械设备有限公司、兰州荣光数字化口腔技术中心等合作企业。</w:t>
      </w:r>
    </w:p>
    <w:p w14:paraId="655C2FC2">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33" w:name="_Toc32267"/>
      <w:bookmarkStart w:id="34" w:name="_Toc24318"/>
      <w:r>
        <w:t>（</w:t>
      </w:r>
      <w:r>
        <w:rPr>
          <w:rFonts w:hint="eastAsia"/>
          <w:lang w:val="en-US" w:eastAsia="zh-CN"/>
        </w:rPr>
        <w:t>五</w:t>
      </w:r>
      <w:r>
        <w:t>）各模块学时、学分</w:t>
      </w:r>
      <w:r>
        <w:rPr>
          <w:rFonts w:hint="eastAsia"/>
          <w:lang w:val="en-US" w:eastAsia="zh-CN"/>
        </w:rPr>
        <w:t>汇总</w:t>
      </w:r>
      <w:r>
        <w:t>表</w:t>
      </w:r>
      <w:bookmarkEnd w:id="33"/>
      <w:bookmarkEnd w:id="34"/>
    </w:p>
    <w:p w14:paraId="0CC09B1D">
      <w:pPr>
        <w:spacing w:line="87" w:lineRule="exact"/>
      </w:pPr>
    </w:p>
    <w:tbl>
      <w:tblPr>
        <w:tblStyle w:val="13"/>
        <w:tblW w:w="8543" w:type="dxa"/>
        <w:tblInd w:w="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8"/>
        <w:gridCol w:w="1185"/>
        <w:gridCol w:w="759"/>
        <w:gridCol w:w="759"/>
        <w:gridCol w:w="759"/>
        <w:gridCol w:w="759"/>
        <w:gridCol w:w="1108"/>
        <w:gridCol w:w="1466"/>
      </w:tblGrid>
      <w:tr w14:paraId="18EFE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748" w:type="dxa"/>
            <w:tcBorders>
              <w:bottom w:val="single" w:color="auto" w:sz="4" w:space="0"/>
            </w:tcBorders>
            <w:vAlign w:val="center"/>
          </w:tcPr>
          <w:p w14:paraId="65B7579E">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课程模块</w:t>
            </w:r>
          </w:p>
        </w:tc>
        <w:tc>
          <w:tcPr>
            <w:tcW w:w="1185" w:type="dxa"/>
            <w:tcBorders>
              <w:bottom w:val="single" w:color="auto" w:sz="4" w:space="0"/>
            </w:tcBorders>
            <w:vAlign w:val="center"/>
          </w:tcPr>
          <w:p w14:paraId="2A990F3E">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课程性质</w:t>
            </w:r>
          </w:p>
        </w:tc>
        <w:tc>
          <w:tcPr>
            <w:tcW w:w="759" w:type="dxa"/>
            <w:tcBorders>
              <w:bottom w:val="single" w:color="auto" w:sz="4" w:space="0"/>
            </w:tcBorders>
            <w:vAlign w:val="center"/>
          </w:tcPr>
          <w:p w14:paraId="3031FBDC">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学分</w:t>
            </w:r>
          </w:p>
        </w:tc>
        <w:tc>
          <w:tcPr>
            <w:tcW w:w="759" w:type="dxa"/>
            <w:tcBorders>
              <w:bottom w:val="single" w:color="auto" w:sz="4" w:space="0"/>
            </w:tcBorders>
            <w:vAlign w:val="center"/>
          </w:tcPr>
          <w:p w14:paraId="4FD77E21">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学时</w:t>
            </w:r>
          </w:p>
        </w:tc>
        <w:tc>
          <w:tcPr>
            <w:tcW w:w="759" w:type="dxa"/>
            <w:tcBorders>
              <w:bottom w:val="single" w:color="auto" w:sz="4" w:space="0"/>
            </w:tcBorders>
            <w:vAlign w:val="center"/>
          </w:tcPr>
          <w:p w14:paraId="4333BABA">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理论</w:t>
            </w:r>
          </w:p>
          <w:p w14:paraId="063AA32E">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学时</w:t>
            </w:r>
          </w:p>
        </w:tc>
        <w:tc>
          <w:tcPr>
            <w:tcW w:w="759" w:type="dxa"/>
            <w:tcBorders>
              <w:bottom w:val="single" w:color="auto" w:sz="4" w:space="0"/>
            </w:tcBorders>
            <w:vAlign w:val="center"/>
          </w:tcPr>
          <w:p w14:paraId="1C71E819">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实践</w:t>
            </w:r>
          </w:p>
          <w:p w14:paraId="2203397C">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学时</w:t>
            </w:r>
          </w:p>
        </w:tc>
        <w:tc>
          <w:tcPr>
            <w:tcW w:w="1108" w:type="dxa"/>
            <w:tcBorders>
              <w:bottom w:val="single" w:color="auto" w:sz="4" w:space="0"/>
            </w:tcBorders>
            <w:vAlign w:val="center"/>
          </w:tcPr>
          <w:p w14:paraId="545742B4">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实践教学比例 (%)</w:t>
            </w:r>
          </w:p>
        </w:tc>
        <w:tc>
          <w:tcPr>
            <w:tcW w:w="1466" w:type="dxa"/>
            <w:tcBorders>
              <w:bottom w:val="single" w:color="auto" w:sz="4" w:space="0"/>
            </w:tcBorders>
            <w:vAlign w:val="center"/>
          </w:tcPr>
          <w:p w14:paraId="66709A8F">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占总学时</w:t>
            </w:r>
          </w:p>
          <w:p w14:paraId="0CFBF476">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2"/>
                <w:szCs w:val="22"/>
                <w:u w:val="none"/>
                <w:lang w:val="en-US" w:eastAsia="zh-CN" w:bidi="ar"/>
              </w:rPr>
            </w:pPr>
            <w:r>
              <w:rPr>
                <w:rFonts w:hint="eastAsia" w:ascii="宋体" w:hAnsi="宋体" w:eastAsia="宋体" w:cs="宋体"/>
                <w:b/>
                <w:bCs/>
                <w:i w:val="0"/>
                <w:iCs w:val="0"/>
                <w:snapToGrid w:val="0"/>
                <w:color w:val="000000"/>
                <w:kern w:val="0"/>
                <w:sz w:val="22"/>
                <w:szCs w:val="22"/>
                <w:u w:val="none"/>
                <w:lang w:val="en-US" w:eastAsia="zh-CN" w:bidi="ar"/>
              </w:rPr>
              <w:t>比例 (%)</w:t>
            </w:r>
          </w:p>
        </w:tc>
      </w:tr>
      <w:tr w14:paraId="51068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8" w:hRule="atLeast"/>
        </w:trPr>
        <w:tc>
          <w:tcPr>
            <w:tcW w:w="1748" w:type="dxa"/>
            <w:tcBorders>
              <w:top w:val="single" w:color="auto" w:sz="4" w:space="0"/>
              <w:left w:val="single" w:color="auto" w:sz="4" w:space="0"/>
              <w:bottom w:val="single" w:color="auto" w:sz="4" w:space="0"/>
              <w:right w:val="single" w:color="auto" w:sz="4" w:space="0"/>
            </w:tcBorders>
            <w:vAlign w:val="center"/>
          </w:tcPr>
          <w:p w14:paraId="5F7701EB">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i w:val="0"/>
                <w:iCs w:val="0"/>
                <w:snapToGrid w:val="0"/>
                <w:color w:val="000000"/>
                <w:kern w:val="0"/>
                <w:sz w:val="22"/>
                <w:szCs w:val="22"/>
                <w:u w:val="none"/>
                <w:lang w:val="en-US" w:eastAsia="zh-CN" w:bidi="ar"/>
              </w:rPr>
              <w:t>公共基础课程</w:t>
            </w:r>
          </w:p>
        </w:tc>
        <w:tc>
          <w:tcPr>
            <w:tcW w:w="1185" w:type="dxa"/>
            <w:tcBorders>
              <w:top w:val="single" w:color="auto" w:sz="4" w:space="0"/>
              <w:left w:val="single" w:color="auto" w:sz="4" w:space="0"/>
              <w:bottom w:val="single" w:color="auto" w:sz="4" w:space="0"/>
              <w:right w:val="single" w:color="auto" w:sz="4" w:space="0"/>
            </w:tcBorders>
            <w:vAlign w:val="center"/>
          </w:tcPr>
          <w:p w14:paraId="4394A0D8">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必修</w:t>
            </w:r>
          </w:p>
        </w:tc>
        <w:tc>
          <w:tcPr>
            <w:tcW w:w="759" w:type="dxa"/>
            <w:tcBorders>
              <w:top w:val="single" w:color="auto" w:sz="4" w:space="0"/>
              <w:left w:val="single" w:color="auto" w:sz="4" w:space="0"/>
              <w:bottom w:val="single" w:color="auto" w:sz="4" w:space="0"/>
              <w:right w:val="single" w:color="auto" w:sz="4" w:space="0"/>
            </w:tcBorders>
            <w:vAlign w:val="center"/>
          </w:tcPr>
          <w:p w14:paraId="4B85F3D4">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46</w:t>
            </w:r>
          </w:p>
        </w:tc>
        <w:tc>
          <w:tcPr>
            <w:tcW w:w="759" w:type="dxa"/>
            <w:tcBorders>
              <w:top w:val="single" w:color="auto" w:sz="4" w:space="0"/>
              <w:left w:val="single" w:color="auto" w:sz="4" w:space="0"/>
              <w:bottom w:val="single" w:color="auto" w:sz="4" w:space="0"/>
              <w:right w:val="single" w:color="auto" w:sz="4" w:space="0"/>
            </w:tcBorders>
            <w:vAlign w:val="center"/>
          </w:tcPr>
          <w:p w14:paraId="7241558E">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770</w:t>
            </w:r>
          </w:p>
        </w:tc>
        <w:tc>
          <w:tcPr>
            <w:tcW w:w="759" w:type="dxa"/>
            <w:tcBorders>
              <w:top w:val="single" w:color="auto" w:sz="4" w:space="0"/>
              <w:left w:val="single" w:color="auto" w:sz="4" w:space="0"/>
              <w:bottom w:val="single" w:color="auto" w:sz="4" w:space="0"/>
              <w:right w:val="single" w:color="auto" w:sz="4" w:space="0"/>
            </w:tcBorders>
            <w:vAlign w:val="center"/>
          </w:tcPr>
          <w:p w14:paraId="1C116B64">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396</w:t>
            </w:r>
          </w:p>
        </w:tc>
        <w:tc>
          <w:tcPr>
            <w:tcW w:w="759" w:type="dxa"/>
            <w:tcBorders>
              <w:top w:val="single" w:color="auto" w:sz="4" w:space="0"/>
              <w:left w:val="single" w:color="auto" w:sz="4" w:space="0"/>
              <w:bottom w:val="single" w:color="auto" w:sz="4" w:space="0"/>
              <w:right w:val="single" w:color="auto" w:sz="4" w:space="0"/>
            </w:tcBorders>
            <w:vAlign w:val="center"/>
          </w:tcPr>
          <w:p w14:paraId="101A00DF">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374</w:t>
            </w:r>
          </w:p>
        </w:tc>
        <w:tc>
          <w:tcPr>
            <w:tcW w:w="1108" w:type="dxa"/>
            <w:tcBorders>
              <w:top w:val="single" w:color="auto" w:sz="4" w:space="0"/>
              <w:left w:val="single" w:color="auto" w:sz="4" w:space="0"/>
              <w:bottom w:val="single" w:color="auto" w:sz="4" w:space="0"/>
              <w:right w:val="single" w:color="auto" w:sz="4" w:space="0"/>
            </w:tcBorders>
            <w:vAlign w:val="center"/>
          </w:tcPr>
          <w:p w14:paraId="6D4104B7">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48.57%</w:t>
            </w:r>
          </w:p>
        </w:tc>
        <w:tc>
          <w:tcPr>
            <w:tcW w:w="1466" w:type="dxa"/>
            <w:tcBorders>
              <w:top w:val="single" w:color="auto" w:sz="4" w:space="0"/>
              <w:left w:val="single" w:color="auto" w:sz="4" w:space="0"/>
              <w:bottom w:val="single" w:color="auto" w:sz="4" w:space="0"/>
              <w:right w:val="single" w:color="auto" w:sz="4" w:space="0"/>
            </w:tcBorders>
            <w:vAlign w:val="center"/>
          </w:tcPr>
          <w:p w14:paraId="7D5E3281">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26.75%</w:t>
            </w:r>
          </w:p>
        </w:tc>
      </w:tr>
      <w:tr w14:paraId="4B354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748" w:type="dxa"/>
            <w:tcBorders>
              <w:top w:val="single" w:color="auto" w:sz="4" w:space="0"/>
              <w:left w:val="single" w:color="auto" w:sz="4" w:space="0"/>
              <w:bottom w:val="single" w:color="auto" w:sz="4" w:space="0"/>
              <w:right w:val="single" w:color="auto" w:sz="4" w:space="0"/>
            </w:tcBorders>
            <w:vAlign w:val="center"/>
          </w:tcPr>
          <w:p w14:paraId="2A55A92D">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i w:val="0"/>
                <w:iCs w:val="0"/>
                <w:snapToGrid w:val="0"/>
                <w:color w:val="000000"/>
                <w:kern w:val="0"/>
                <w:sz w:val="22"/>
                <w:szCs w:val="22"/>
                <w:u w:val="none"/>
                <w:lang w:val="en-US" w:eastAsia="zh-CN" w:bidi="ar"/>
              </w:rPr>
              <w:t>专业基础课程</w:t>
            </w:r>
          </w:p>
        </w:tc>
        <w:tc>
          <w:tcPr>
            <w:tcW w:w="1185" w:type="dxa"/>
            <w:tcBorders>
              <w:top w:val="single" w:color="auto" w:sz="4" w:space="0"/>
              <w:left w:val="single" w:color="auto" w:sz="4" w:space="0"/>
              <w:bottom w:val="single" w:color="auto" w:sz="4" w:space="0"/>
              <w:right w:val="single" w:color="auto" w:sz="4" w:space="0"/>
            </w:tcBorders>
            <w:vAlign w:val="center"/>
          </w:tcPr>
          <w:p w14:paraId="29998185">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必修</w:t>
            </w:r>
          </w:p>
        </w:tc>
        <w:tc>
          <w:tcPr>
            <w:tcW w:w="759" w:type="dxa"/>
            <w:tcBorders>
              <w:top w:val="single" w:color="auto" w:sz="4" w:space="0"/>
              <w:left w:val="single" w:color="auto" w:sz="4" w:space="0"/>
              <w:bottom w:val="single" w:color="auto" w:sz="4" w:space="0"/>
              <w:right w:val="single" w:color="auto" w:sz="4" w:space="0"/>
            </w:tcBorders>
            <w:vAlign w:val="center"/>
          </w:tcPr>
          <w:p w14:paraId="49A01AA2">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26</w:t>
            </w:r>
          </w:p>
        </w:tc>
        <w:tc>
          <w:tcPr>
            <w:tcW w:w="759" w:type="dxa"/>
            <w:tcBorders>
              <w:top w:val="single" w:color="auto" w:sz="4" w:space="0"/>
              <w:left w:val="single" w:color="auto" w:sz="4" w:space="0"/>
              <w:bottom w:val="single" w:color="auto" w:sz="4" w:space="0"/>
              <w:right w:val="single" w:color="auto" w:sz="4" w:space="0"/>
            </w:tcBorders>
            <w:vAlign w:val="center"/>
          </w:tcPr>
          <w:p w14:paraId="5C205B2A">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416</w:t>
            </w:r>
          </w:p>
        </w:tc>
        <w:tc>
          <w:tcPr>
            <w:tcW w:w="759" w:type="dxa"/>
            <w:tcBorders>
              <w:top w:val="single" w:color="auto" w:sz="4" w:space="0"/>
              <w:left w:val="single" w:color="auto" w:sz="4" w:space="0"/>
              <w:bottom w:val="single" w:color="auto" w:sz="4" w:space="0"/>
              <w:right w:val="single" w:color="auto" w:sz="4" w:space="0"/>
            </w:tcBorders>
            <w:vAlign w:val="center"/>
          </w:tcPr>
          <w:p w14:paraId="41B680B1">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264</w:t>
            </w:r>
          </w:p>
        </w:tc>
        <w:tc>
          <w:tcPr>
            <w:tcW w:w="759" w:type="dxa"/>
            <w:tcBorders>
              <w:top w:val="single" w:color="auto" w:sz="4" w:space="0"/>
              <w:left w:val="single" w:color="auto" w:sz="4" w:space="0"/>
              <w:bottom w:val="single" w:color="auto" w:sz="4" w:space="0"/>
              <w:right w:val="single" w:color="auto" w:sz="4" w:space="0"/>
            </w:tcBorders>
            <w:vAlign w:val="center"/>
          </w:tcPr>
          <w:p w14:paraId="37EB237C">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152</w:t>
            </w:r>
          </w:p>
        </w:tc>
        <w:tc>
          <w:tcPr>
            <w:tcW w:w="1108" w:type="dxa"/>
            <w:tcBorders>
              <w:top w:val="single" w:color="auto" w:sz="4" w:space="0"/>
              <w:left w:val="single" w:color="auto" w:sz="4" w:space="0"/>
              <w:bottom w:val="single" w:color="auto" w:sz="4" w:space="0"/>
              <w:right w:val="single" w:color="auto" w:sz="4" w:space="0"/>
            </w:tcBorders>
            <w:vAlign w:val="center"/>
          </w:tcPr>
          <w:p w14:paraId="180121B2">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36.54%</w:t>
            </w:r>
          </w:p>
        </w:tc>
        <w:tc>
          <w:tcPr>
            <w:tcW w:w="1466" w:type="dxa"/>
            <w:tcBorders>
              <w:top w:val="single" w:color="auto" w:sz="4" w:space="0"/>
              <w:left w:val="single" w:color="auto" w:sz="4" w:space="0"/>
              <w:bottom w:val="single" w:color="auto" w:sz="4" w:space="0"/>
              <w:right w:val="single" w:color="auto" w:sz="4" w:space="0"/>
            </w:tcBorders>
            <w:vAlign w:val="center"/>
          </w:tcPr>
          <w:p w14:paraId="71BD8600">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14.45%</w:t>
            </w:r>
          </w:p>
        </w:tc>
      </w:tr>
      <w:tr w14:paraId="43725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748" w:type="dxa"/>
            <w:tcBorders>
              <w:top w:val="single" w:color="auto" w:sz="4" w:space="0"/>
              <w:left w:val="single" w:color="auto" w:sz="4" w:space="0"/>
              <w:bottom w:val="single" w:color="auto" w:sz="4" w:space="0"/>
              <w:right w:val="single" w:color="auto" w:sz="4" w:space="0"/>
            </w:tcBorders>
            <w:vAlign w:val="center"/>
          </w:tcPr>
          <w:p w14:paraId="57F61170">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i w:val="0"/>
                <w:iCs w:val="0"/>
                <w:snapToGrid w:val="0"/>
                <w:color w:val="000000"/>
                <w:kern w:val="0"/>
                <w:sz w:val="22"/>
                <w:szCs w:val="22"/>
                <w:u w:val="none"/>
                <w:lang w:val="en-US" w:eastAsia="zh-CN" w:bidi="ar"/>
              </w:rPr>
              <w:t>专业核心课程</w:t>
            </w:r>
          </w:p>
        </w:tc>
        <w:tc>
          <w:tcPr>
            <w:tcW w:w="1185" w:type="dxa"/>
            <w:tcBorders>
              <w:top w:val="single" w:color="auto" w:sz="4" w:space="0"/>
              <w:left w:val="single" w:color="auto" w:sz="4" w:space="0"/>
              <w:bottom w:val="single" w:color="auto" w:sz="4" w:space="0"/>
              <w:right w:val="single" w:color="auto" w:sz="4" w:space="0"/>
            </w:tcBorders>
            <w:vAlign w:val="center"/>
          </w:tcPr>
          <w:p w14:paraId="320827FE">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必修</w:t>
            </w:r>
          </w:p>
        </w:tc>
        <w:tc>
          <w:tcPr>
            <w:tcW w:w="759" w:type="dxa"/>
            <w:tcBorders>
              <w:top w:val="single" w:color="auto" w:sz="4" w:space="0"/>
              <w:left w:val="single" w:color="auto" w:sz="4" w:space="0"/>
              <w:bottom w:val="single" w:color="auto" w:sz="4" w:space="0"/>
              <w:right w:val="single" w:color="auto" w:sz="4" w:space="0"/>
            </w:tcBorders>
            <w:vAlign w:val="center"/>
          </w:tcPr>
          <w:p w14:paraId="6D69D7E2">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32</w:t>
            </w:r>
          </w:p>
        </w:tc>
        <w:tc>
          <w:tcPr>
            <w:tcW w:w="759" w:type="dxa"/>
            <w:tcBorders>
              <w:top w:val="single" w:color="auto" w:sz="4" w:space="0"/>
              <w:left w:val="single" w:color="auto" w:sz="4" w:space="0"/>
              <w:bottom w:val="single" w:color="auto" w:sz="4" w:space="0"/>
              <w:right w:val="single" w:color="auto" w:sz="4" w:space="0"/>
            </w:tcBorders>
            <w:vAlign w:val="center"/>
          </w:tcPr>
          <w:p w14:paraId="2D007FF2">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512</w:t>
            </w:r>
          </w:p>
        </w:tc>
        <w:tc>
          <w:tcPr>
            <w:tcW w:w="759" w:type="dxa"/>
            <w:tcBorders>
              <w:top w:val="single" w:color="auto" w:sz="4" w:space="0"/>
              <w:left w:val="single" w:color="auto" w:sz="4" w:space="0"/>
              <w:bottom w:val="single" w:color="auto" w:sz="4" w:space="0"/>
              <w:right w:val="single" w:color="auto" w:sz="4" w:space="0"/>
            </w:tcBorders>
            <w:vAlign w:val="center"/>
          </w:tcPr>
          <w:p w14:paraId="3C2E4242">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278</w:t>
            </w:r>
          </w:p>
        </w:tc>
        <w:tc>
          <w:tcPr>
            <w:tcW w:w="759" w:type="dxa"/>
            <w:tcBorders>
              <w:top w:val="single" w:color="auto" w:sz="4" w:space="0"/>
              <w:left w:val="single" w:color="auto" w:sz="4" w:space="0"/>
              <w:bottom w:val="single" w:color="auto" w:sz="4" w:space="0"/>
              <w:right w:val="single" w:color="auto" w:sz="4" w:space="0"/>
            </w:tcBorders>
            <w:vAlign w:val="center"/>
          </w:tcPr>
          <w:p w14:paraId="6A3FC605">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234</w:t>
            </w:r>
          </w:p>
        </w:tc>
        <w:tc>
          <w:tcPr>
            <w:tcW w:w="1108" w:type="dxa"/>
            <w:tcBorders>
              <w:top w:val="single" w:color="auto" w:sz="4" w:space="0"/>
              <w:left w:val="single" w:color="auto" w:sz="4" w:space="0"/>
              <w:bottom w:val="single" w:color="auto" w:sz="4" w:space="0"/>
              <w:right w:val="single" w:color="auto" w:sz="4" w:space="0"/>
            </w:tcBorders>
            <w:vAlign w:val="center"/>
          </w:tcPr>
          <w:p w14:paraId="7A5C301B">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45.70%</w:t>
            </w:r>
          </w:p>
        </w:tc>
        <w:tc>
          <w:tcPr>
            <w:tcW w:w="1466" w:type="dxa"/>
            <w:tcBorders>
              <w:top w:val="single" w:color="auto" w:sz="4" w:space="0"/>
              <w:left w:val="single" w:color="auto" w:sz="4" w:space="0"/>
              <w:bottom w:val="single" w:color="auto" w:sz="4" w:space="0"/>
              <w:right w:val="single" w:color="auto" w:sz="4" w:space="0"/>
            </w:tcBorders>
            <w:vAlign w:val="center"/>
          </w:tcPr>
          <w:p w14:paraId="3C724967">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17.79%</w:t>
            </w:r>
          </w:p>
        </w:tc>
      </w:tr>
      <w:tr w14:paraId="5F743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748" w:type="dxa"/>
            <w:tcBorders>
              <w:top w:val="single" w:color="auto" w:sz="4" w:space="0"/>
              <w:left w:val="single" w:color="auto" w:sz="4" w:space="0"/>
              <w:bottom w:val="single" w:color="auto" w:sz="4" w:space="0"/>
              <w:right w:val="single" w:color="auto" w:sz="4" w:space="0"/>
            </w:tcBorders>
            <w:shd w:val="clear" w:color="auto" w:fill="auto"/>
            <w:vAlign w:val="center"/>
          </w:tcPr>
          <w:p w14:paraId="4F1DFA9D">
            <w:pPr>
              <w:keepNext w:val="0"/>
              <w:keepLines w:val="0"/>
              <w:widowControl/>
              <w:suppressLineNumbers w:val="0"/>
              <w:jc w:val="center"/>
              <w:textAlignment w:val="center"/>
              <w:rPr>
                <w:rFonts w:hint="default"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i w:val="0"/>
                <w:iCs w:val="0"/>
                <w:snapToGrid w:val="0"/>
                <w:color w:val="000000"/>
                <w:kern w:val="0"/>
                <w:sz w:val="22"/>
                <w:szCs w:val="22"/>
                <w:u w:val="none"/>
                <w:lang w:val="en-US" w:eastAsia="zh-CN" w:bidi="ar"/>
              </w:rPr>
              <w:t>毕业实习</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69098FFB">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必修</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14:paraId="6F501E57">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32</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14:paraId="74A7532A">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800</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14:paraId="423F4C6B">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0</w:t>
            </w:r>
          </w:p>
        </w:tc>
        <w:tc>
          <w:tcPr>
            <w:tcW w:w="759" w:type="dxa"/>
            <w:tcBorders>
              <w:top w:val="single" w:color="auto" w:sz="4" w:space="0"/>
              <w:left w:val="single" w:color="auto" w:sz="4" w:space="0"/>
              <w:bottom w:val="single" w:color="auto" w:sz="4" w:space="0"/>
              <w:right w:val="single" w:color="auto" w:sz="4" w:space="0"/>
            </w:tcBorders>
            <w:shd w:val="clear" w:color="auto" w:fill="auto"/>
            <w:vAlign w:val="center"/>
          </w:tcPr>
          <w:p w14:paraId="6380BEBD">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800</w:t>
            </w:r>
          </w:p>
        </w:tc>
        <w:tc>
          <w:tcPr>
            <w:tcW w:w="1108" w:type="dxa"/>
            <w:tcBorders>
              <w:top w:val="single" w:color="auto" w:sz="4" w:space="0"/>
              <w:left w:val="single" w:color="auto" w:sz="4" w:space="0"/>
              <w:bottom w:val="single" w:color="auto" w:sz="4" w:space="0"/>
              <w:right w:val="single" w:color="auto" w:sz="4" w:space="0"/>
            </w:tcBorders>
            <w:shd w:val="clear" w:color="auto" w:fill="auto"/>
            <w:vAlign w:val="center"/>
          </w:tcPr>
          <w:p w14:paraId="39832FA7">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100.00%</w:t>
            </w:r>
          </w:p>
        </w:tc>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14:paraId="15CE802E">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27.80%</w:t>
            </w:r>
          </w:p>
        </w:tc>
      </w:tr>
      <w:tr w14:paraId="18C28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2933" w:type="dxa"/>
            <w:gridSpan w:val="2"/>
            <w:tcBorders>
              <w:top w:val="single" w:color="auto" w:sz="4" w:space="0"/>
              <w:left w:val="single" w:color="auto" w:sz="4" w:space="0"/>
              <w:bottom w:val="single" w:color="auto" w:sz="4" w:space="0"/>
              <w:right w:val="single" w:color="auto" w:sz="4" w:space="0"/>
            </w:tcBorders>
            <w:vAlign w:val="center"/>
          </w:tcPr>
          <w:p w14:paraId="34E3B461">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i w:val="0"/>
                <w:iCs w:val="0"/>
                <w:snapToGrid w:val="0"/>
                <w:color w:val="000000"/>
                <w:kern w:val="0"/>
                <w:sz w:val="22"/>
                <w:szCs w:val="22"/>
                <w:u w:val="none"/>
                <w:lang w:val="en-US" w:eastAsia="zh-CN" w:bidi="ar"/>
              </w:rPr>
              <w:t>必修课小计</w:t>
            </w:r>
          </w:p>
        </w:tc>
        <w:tc>
          <w:tcPr>
            <w:tcW w:w="759" w:type="dxa"/>
            <w:tcBorders>
              <w:top w:val="single" w:color="auto" w:sz="4" w:space="0"/>
              <w:left w:val="single" w:color="auto" w:sz="4" w:space="0"/>
              <w:bottom w:val="single" w:color="auto" w:sz="4" w:space="0"/>
              <w:right w:val="single" w:color="auto" w:sz="4" w:space="0"/>
            </w:tcBorders>
            <w:vAlign w:val="center"/>
          </w:tcPr>
          <w:p w14:paraId="32A29038">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136</w:t>
            </w:r>
          </w:p>
        </w:tc>
        <w:tc>
          <w:tcPr>
            <w:tcW w:w="759" w:type="dxa"/>
            <w:tcBorders>
              <w:top w:val="single" w:color="auto" w:sz="4" w:space="0"/>
              <w:left w:val="single" w:color="auto" w:sz="4" w:space="0"/>
              <w:bottom w:val="single" w:color="auto" w:sz="4" w:space="0"/>
              <w:right w:val="single" w:color="auto" w:sz="4" w:space="0"/>
            </w:tcBorders>
            <w:vAlign w:val="center"/>
          </w:tcPr>
          <w:p w14:paraId="156A8F8F">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2498</w:t>
            </w:r>
          </w:p>
        </w:tc>
        <w:tc>
          <w:tcPr>
            <w:tcW w:w="759" w:type="dxa"/>
            <w:tcBorders>
              <w:top w:val="single" w:color="auto" w:sz="4" w:space="0"/>
              <w:left w:val="single" w:color="auto" w:sz="4" w:space="0"/>
              <w:bottom w:val="single" w:color="auto" w:sz="4" w:space="0"/>
              <w:right w:val="single" w:color="auto" w:sz="4" w:space="0"/>
            </w:tcBorders>
            <w:vAlign w:val="center"/>
          </w:tcPr>
          <w:p w14:paraId="5D47809A">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eastAsia" w:ascii="Times New Roman" w:hAnsi="Times New Roman" w:eastAsia="宋体" w:cs="Times New Roman"/>
                <w:b w:val="0"/>
                <w:bCs/>
                <w:i w:val="0"/>
                <w:iCs w:val="0"/>
                <w:snapToGrid w:val="0"/>
                <w:color w:val="000000"/>
                <w:kern w:val="0"/>
                <w:sz w:val="22"/>
                <w:szCs w:val="22"/>
                <w:u w:val="none"/>
                <w:lang w:val="en-US" w:eastAsia="zh-CN" w:bidi="ar"/>
              </w:rPr>
              <w:t>9</w:t>
            </w:r>
            <w:r>
              <w:rPr>
                <w:rFonts w:hint="default" w:ascii="Times New Roman" w:hAnsi="Times New Roman" w:eastAsia="宋体" w:cs="Times New Roman"/>
                <w:b w:val="0"/>
                <w:bCs/>
                <w:i w:val="0"/>
                <w:iCs w:val="0"/>
                <w:snapToGrid w:val="0"/>
                <w:color w:val="000000"/>
                <w:kern w:val="0"/>
                <w:sz w:val="22"/>
                <w:szCs w:val="22"/>
                <w:u w:val="none"/>
                <w:lang w:val="en-US" w:eastAsia="zh-CN" w:bidi="ar"/>
              </w:rPr>
              <w:t>38</w:t>
            </w:r>
          </w:p>
        </w:tc>
        <w:tc>
          <w:tcPr>
            <w:tcW w:w="759" w:type="dxa"/>
            <w:tcBorders>
              <w:top w:val="single" w:color="auto" w:sz="4" w:space="0"/>
              <w:left w:val="single" w:color="auto" w:sz="4" w:space="0"/>
              <w:bottom w:val="single" w:color="auto" w:sz="4" w:space="0"/>
              <w:right w:val="single" w:color="auto" w:sz="4" w:space="0"/>
            </w:tcBorders>
            <w:vAlign w:val="center"/>
          </w:tcPr>
          <w:p w14:paraId="2AFCDB0C">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w:t>
            </w:r>
            <w:r>
              <w:rPr>
                <w:rFonts w:hint="eastAsia" w:ascii="Times New Roman" w:hAnsi="Times New Roman" w:eastAsia="宋体" w:cs="Times New Roman"/>
                <w:b w:val="0"/>
                <w:bCs/>
                <w:i w:val="0"/>
                <w:iCs w:val="0"/>
                <w:snapToGrid w:val="0"/>
                <w:color w:val="000000"/>
                <w:kern w:val="0"/>
                <w:sz w:val="22"/>
                <w:szCs w:val="22"/>
                <w:u w:val="none"/>
                <w:lang w:val="en-US" w:eastAsia="zh-CN" w:bidi="ar"/>
              </w:rPr>
              <w:t>5</w:t>
            </w:r>
            <w:r>
              <w:rPr>
                <w:rFonts w:hint="default" w:ascii="Times New Roman" w:hAnsi="Times New Roman" w:eastAsia="宋体" w:cs="Times New Roman"/>
                <w:b w:val="0"/>
                <w:bCs/>
                <w:i w:val="0"/>
                <w:iCs w:val="0"/>
                <w:snapToGrid w:val="0"/>
                <w:color w:val="000000"/>
                <w:kern w:val="0"/>
                <w:sz w:val="22"/>
                <w:szCs w:val="22"/>
                <w:u w:val="none"/>
                <w:lang w:val="en-US" w:eastAsia="zh-CN" w:bidi="ar"/>
              </w:rPr>
              <w:t>60</w:t>
            </w:r>
          </w:p>
        </w:tc>
        <w:tc>
          <w:tcPr>
            <w:tcW w:w="1108" w:type="dxa"/>
            <w:tcBorders>
              <w:top w:val="single" w:color="auto" w:sz="4" w:space="0"/>
              <w:left w:val="single" w:color="auto" w:sz="4" w:space="0"/>
              <w:bottom w:val="single" w:color="auto" w:sz="4" w:space="0"/>
              <w:right w:val="single" w:color="auto" w:sz="4" w:space="0"/>
            </w:tcBorders>
            <w:vAlign w:val="center"/>
          </w:tcPr>
          <w:p w14:paraId="6C4342DB">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eastAsia" w:ascii="Times New Roman" w:hAnsi="Times New Roman" w:eastAsia="宋体" w:cs="Times New Roman"/>
                <w:b w:val="0"/>
                <w:bCs/>
                <w:i w:val="0"/>
                <w:iCs w:val="0"/>
                <w:snapToGrid w:val="0"/>
                <w:color w:val="000000"/>
                <w:kern w:val="0"/>
                <w:sz w:val="22"/>
                <w:szCs w:val="22"/>
                <w:u w:val="none"/>
                <w:lang w:val="en-US" w:eastAsia="zh-CN" w:bidi="ar"/>
              </w:rPr>
              <w:t>62.45</w:t>
            </w:r>
            <w:r>
              <w:rPr>
                <w:rFonts w:hint="default" w:ascii="Times New Roman" w:hAnsi="Times New Roman" w:eastAsia="宋体" w:cs="Times New Roman"/>
                <w:b w:val="0"/>
                <w:bCs/>
                <w:i w:val="0"/>
                <w:iCs w:val="0"/>
                <w:snapToGrid w:val="0"/>
                <w:color w:val="000000"/>
                <w:kern w:val="0"/>
                <w:sz w:val="22"/>
                <w:szCs w:val="22"/>
                <w:u w:val="none"/>
                <w:lang w:val="en-US" w:eastAsia="zh-CN" w:bidi="ar"/>
              </w:rPr>
              <w:t>%</w:t>
            </w:r>
          </w:p>
        </w:tc>
        <w:tc>
          <w:tcPr>
            <w:tcW w:w="1466" w:type="dxa"/>
            <w:tcBorders>
              <w:top w:val="single" w:color="auto" w:sz="4" w:space="0"/>
              <w:left w:val="single" w:color="auto" w:sz="4" w:space="0"/>
              <w:bottom w:val="single" w:color="auto" w:sz="4" w:space="0"/>
              <w:right w:val="single" w:color="auto" w:sz="4" w:space="0"/>
            </w:tcBorders>
            <w:vAlign w:val="center"/>
          </w:tcPr>
          <w:p w14:paraId="2DD498A2">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86.80%</w:t>
            </w:r>
          </w:p>
        </w:tc>
      </w:tr>
      <w:tr w14:paraId="333FE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748" w:type="dxa"/>
            <w:tcBorders>
              <w:top w:val="single" w:color="auto" w:sz="4" w:space="0"/>
              <w:left w:val="single" w:color="auto" w:sz="4" w:space="0"/>
              <w:bottom w:val="single" w:color="auto" w:sz="4" w:space="0"/>
              <w:right w:val="single" w:color="auto" w:sz="4" w:space="0"/>
            </w:tcBorders>
            <w:vAlign w:val="center"/>
          </w:tcPr>
          <w:p w14:paraId="0AC038E0">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i w:val="0"/>
                <w:iCs w:val="0"/>
                <w:snapToGrid w:val="0"/>
                <w:color w:val="000000"/>
                <w:kern w:val="0"/>
                <w:sz w:val="22"/>
                <w:szCs w:val="22"/>
                <w:u w:val="none"/>
                <w:lang w:val="en-US" w:eastAsia="zh-CN" w:bidi="ar"/>
              </w:rPr>
              <w:t>公共基础课程</w:t>
            </w:r>
          </w:p>
        </w:tc>
        <w:tc>
          <w:tcPr>
            <w:tcW w:w="1185" w:type="dxa"/>
            <w:tcBorders>
              <w:top w:val="single" w:color="auto" w:sz="4" w:space="0"/>
              <w:left w:val="single" w:color="auto" w:sz="4" w:space="0"/>
              <w:bottom w:val="single" w:color="auto" w:sz="4" w:space="0"/>
              <w:right w:val="single" w:color="auto" w:sz="4" w:space="0"/>
            </w:tcBorders>
            <w:vAlign w:val="center"/>
          </w:tcPr>
          <w:p w14:paraId="530AF700">
            <w:pPr>
              <w:keepNext w:val="0"/>
              <w:keepLines w:val="0"/>
              <w:widowControl/>
              <w:suppressLineNumbers w:val="0"/>
              <w:jc w:val="center"/>
              <w:textAlignment w:val="center"/>
              <w:rPr>
                <w:rFonts w:hint="eastAsia"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限定选修</w:t>
            </w:r>
          </w:p>
        </w:tc>
        <w:tc>
          <w:tcPr>
            <w:tcW w:w="759" w:type="dxa"/>
            <w:tcBorders>
              <w:top w:val="single" w:color="auto" w:sz="4" w:space="0"/>
              <w:left w:val="single" w:color="auto" w:sz="4" w:space="0"/>
              <w:bottom w:val="single" w:color="auto" w:sz="4" w:space="0"/>
              <w:right w:val="single" w:color="auto" w:sz="4" w:space="0"/>
            </w:tcBorders>
            <w:vAlign w:val="center"/>
          </w:tcPr>
          <w:p w14:paraId="16234E0F">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4</w:t>
            </w:r>
          </w:p>
        </w:tc>
        <w:tc>
          <w:tcPr>
            <w:tcW w:w="759" w:type="dxa"/>
            <w:tcBorders>
              <w:top w:val="single" w:color="auto" w:sz="4" w:space="0"/>
              <w:left w:val="single" w:color="auto" w:sz="4" w:space="0"/>
              <w:bottom w:val="single" w:color="auto" w:sz="4" w:space="0"/>
              <w:right w:val="single" w:color="auto" w:sz="4" w:space="0"/>
            </w:tcBorders>
            <w:vAlign w:val="center"/>
          </w:tcPr>
          <w:p w14:paraId="7E62D5C0">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56</w:t>
            </w:r>
          </w:p>
        </w:tc>
        <w:tc>
          <w:tcPr>
            <w:tcW w:w="759" w:type="dxa"/>
            <w:tcBorders>
              <w:top w:val="single" w:color="auto" w:sz="4" w:space="0"/>
              <w:left w:val="single" w:color="auto" w:sz="4" w:space="0"/>
              <w:bottom w:val="single" w:color="auto" w:sz="4" w:space="0"/>
              <w:right w:val="single" w:color="auto" w:sz="4" w:space="0"/>
            </w:tcBorders>
            <w:vAlign w:val="center"/>
          </w:tcPr>
          <w:p w14:paraId="426DD332">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34</w:t>
            </w:r>
          </w:p>
        </w:tc>
        <w:tc>
          <w:tcPr>
            <w:tcW w:w="759" w:type="dxa"/>
            <w:tcBorders>
              <w:top w:val="single" w:color="auto" w:sz="4" w:space="0"/>
              <w:left w:val="single" w:color="auto" w:sz="4" w:space="0"/>
              <w:bottom w:val="single" w:color="auto" w:sz="4" w:space="0"/>
              <w:right w:val="single" w:color="auto" w:sz="4" w:space="0"/>
            </w:tcBorders>
            <w:vAlign w:val="center"/>
          </w:tcPr>
          <w:p w14:paraId="0D3BA610">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22</w:t>
            </w:r>
          </w:p>
        </w:tc>
        <w:tc>
          <w:tcPr>
            <w:tcW w:w="1108" w:type="dxa"/>
            <w:tcBorders>
              <w:top w:val="single" w:color="auto" w:sz="4" w:space="0"/>
              <w:left w:val="single" w:color="auto" w:sz="4" w:space="0"/>
              <w:bottom w:val="single" w:color="auto" w:sz="4" w:space="0"/>
              <w:right w:val="single" w:color="auto" w:sz="4" w:space="0"/>
            </w:tcBorders>
            <w:vAlign w:val="center"/>
          </w:tcPr>
          <w:p w14:paraId="260CFF61">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39.29%</w:t>
            </w:r>
          </w:p>
        </w:tc>
        <w:tc>
          <w:tcPr>
            <w:tcW w:w="1466" w:type="dxa"/>
            <w:tcBorders>
              <w:top w:val="single" w:color="auto" w:sz="4" w:space="0"/>
              <w:left w:val="single" w:color="auto" w:sz="4" w:space="0"/>
              <w:bottom w:val="single" w:color="auto" w:sz="4" w:space="0"/>
              <w:right w:val="single" w:color="auto" w:sz="4" w:space="0"/>
            </w:tcBorders>
            <w:vAlign w:val="center"/>
          </w:tcPr>
          <w:p w14:paraId="26E777D6">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1.95%</w:t>
            </w:r>
          </w:p>
        </w:tc>
      </w:tr>
      <w:tr w14:paraId="0E662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748" w:type="dxa"/>
            <w:tcBorders>
              <w:top w:val="single" w:color="auto" w:sz="4" w:space="0"/>
              <w:left w:val="single" w:color="auto" w:sz="4" w:space="0"/>
              <w:bottom w:val="single" w:color="auto" w:sz="4" w:space="0"/>
              <w:right w:val="single" w:color="auto" w:sz="4" w:space="0"/>
            </w:tcBorders>
            <w:vAlign w:val="center"/>
          </w:tcPr>
          <w:p w14:paraId="1A41B713">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i w:val="0"/>
                <w:iCs w:val="0"/>
                <w:snapToGrid w:val="0"/>
                <w:color w:val="000000"/>
                <w:kern w:val="0"/>
                <w:sz w:val="22"/>
                <w:szCs w:val="22"/>
                <w:u w:val="none"/>
                <w:lang w:val="en-US" w:eastAsia="zh-CN" w:bidi="ar"/>
              </w:rPr>
              <w:t>专业拓展课程</w:t>
            </w:r>
          </w:p>
        </w:tc>
        <w:tc>
          <w:tcPr>
            <w:tcW w:w="1185" w:type="dxa"/>
            <w:tcBorders>
              <w:top w:val="single" w:color="auto" w:sz="4" w:space="0"/>
              <w:left w:val="single" w:color="auto" w:sz="4" w:space="0"/>
              <w:bottom w:val="single" w:color="auto" w:sz="4" w:space="0"/>
              <w:right w:val="single" w:color="auto" w:sz="4" w:space="0"/>
            </w:tcBorders>
            <w:vAlign w:val="center"/>
          </w:tcPr>
          <w:p w14:paraId="03C78605">
            <w:pPr>
              <w:keepNext w:val="0"/>
              <w:keepLines w:val="0"/>
              <w:widowControl/>
              <w:suppressLineNumbers w:val="0"/>
              <w:jc w:val="center"/>
              <w:textAlignment w:val="center"/>
              <w:rPr>
                <w:rFonts w:hint="default" w:ascii="宋体" w:hAnsi="宋体" w:eastAsia="宋体" w:cs="宋体"/>
                <w:b w:val="0"/>
                <w:bCs/>
                <w:i w:val="0"/>
                <w:iCs w:val="0"/>
                <w:snapToGrid w:val="0"/>
                <w:color w:val="000000"/>
                <w:kern w:val="0"/>
                <w:sz w:val="22"/>
                <w:szCs w:val="22"/>
                <w:u w:val="none"/>
                <w:lang w:val="en-US" w:eastAsia="zh-CN" w:bidi="ar"/>
              </w:rPr>
            </w:pPr>
            <w:r>
              <w:rPr>
                <w:rFonts w:hint="eastAsia" w:ascii="宋体" w:hAnsi="宋体" w:eastAsia="宋体" w:cs="宋体"/>
                <w:b w:val="0"/>
                <w:bCs/>
                <w:i w:val="0"/>
                <w:iCs w:val="0"/>
                <w:snapToGrid w:val="0"/>
                <w:color w:val="000000"/>
                <w:kern w:val="0"/>
                <w:sz w:val="22"/>
                <w:szCs w:val="22"/>
                <w:u w:val="none"/>
                <w:lang w:val="en-US" w:eastAsia="zh-CN" w:bidi="ar"/>
              </w:rPr>
              <w:t>限定选修  任意选修</w:t>
            </w:r>
          </w:p>
        </w:tc>
        <w:tc>
          <w:tcPr>
            <w:tcW w:w="759" w:type="dxa"/>
            <w:tcBorders>
              <w:top w:val="single" w:color="auto" w:sz="4" w:space="0"/>
              <w:left w:val="single" w:color="auto" w:sz="4" w:space="0"/>
              <w:bottom w:val="single" w:color="auto" w:sz="4" w:space="0"/>
              <w:right w:val="single" w:color="auto" w:sz="4" w:space="0"/>
            </w:tcBorders>
            <w:vAlign w:val="center"/>
          </w:tcPr>
          <w:p w14:paraId="05B25B99">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12</w:t>
            </w:r>
          </w:p>
        </w:tc>
        <w:tc>
          <w:tcPr>
            <w:tcW w:w="759" w:type="dxa"/>
            <w:tcBorders>
              <w:top w:val="single" w:color="auto" w:sz="4" w:space="0"/>
              <w:left w:val="single" w:color="auto" w:sz="4" w:space="0"/>
              <w:bottom w:val="single" w:color="auto" w:sz="4" w:space="0"/>
              <w:right w:val="single" w:color="auto" w:sz="4" w:space="0"/>
            </w:tcBorders>
            <w:vAlign w:val="center"/>
          </w:tcPr>
          <w:p w14:paraId="5993D6D3">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188</w:t>
            </w:r>
          </w:p>
        </w:tc>
        <w:tc>
          <w:tcPr>
            <w:tcW w:w="759" w:type="dxa"/>
            <w:tcBorders>
              <w:top w:val="single" w:color="auto" w:sz="4" w:space="0"/>
              <w:left w:val="single" w:color="auto" w:sz="4" w:space="0"/>
              <w:bottom w:val="single" w:color="auto" w:sz="4" w:space="0"/>
              <w:right w:val="single" w:color="auto" w:sz="4" w:space="0"/>
            </w:tcBorders>
            <w:vAlign w:val="center"/>
          </w:tcPr>
          <w:p w14:paraId="0F602E03">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140</w:t>
            </w:r>
          </w:p>
        </w:tc>
        <w:tc>
          <w:tcPr>
            <w:tcW w:w="759" w:type="dxa"/>
            <w:tcBorders>
              <w:top w:val="single" w:color="auto" w:sz="4" w:space="0"/>
              <w:left w:val="single" w:color="auto" w:sz="4" w:space="0"/>
              <w:bottom w:val="single" w:color="auto" w:sz="4" w:space="0"/>
              <w:right w:val="single" w:color="auto" w:sz="4" w:space="0"/>
            </w:tcBorders>
            <w:vAlign w:val="center"/>
          </w:tcPr>
          <w:p w14:paraId="149AF548">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48</w:t>
            </w:r>
          </w:p>
        </w:tc>
        <w:tc>
          <w:tcPr>
            <w:tcW w:w="1108" w:type="dxa"/>
            <w:tcBorders>
              <w:top w:val="single" w:color="auto" w:sz="4" w:space="0"/>
              <w:left w:val="single" w:color="auto" w:sz="4" w:space="0"/>
              <w:bottom w:val="single" w:color="auto" w:sz="4" w:space="0"/>
              <w:right w:val="single" w:color="auto" w:sz="4" w:space="0"/>
            </w:tcBorders>
            <w:vAlign w:val="center"/>
          </w:tcPr>
          <w:p w14:paraId="3DDC4FF2">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25.53%</w:t>
            </w:r>
          </w:p>
        </w:tc>
        <w:tc>
          <w:tcPr>
            <w:tcW w:w="1466" w:type="dxa"/>
            <w:tcBorders>
              <w:top w:val="single" w:color="auto" w:sz="4" w:space="0"/>
              <w:left w:val="single" w:color="auto" w:sz="4" w:space="0"/>
              <w:bottom w:val="single" w:color="auto" w:sz="4" w:space="0"/>
              <w:right w:val="single" w:color="auto" w:sz="4" w:space="0"/>
            </w:tcBorders>
            <w:vAlign w:val="center"/>
          </w:tcPr>
          <w:p w14:paraId="3ECCC365">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6.53%</w:t>
            </w:r>
          </w:p>
        </w:tc>
      </w:tr>
      <w:tr w14:paraId="0E779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2933" w:type="dxa"/>
            <w:gridSpan w:val="2"/>
            <w:tcBorders>
              <w:top w:val="single" w:color="auto" w:sz="4" w:space="0"/>
              <w:left w:val="single" w:color="auto" w:sz="4" w:space="0"/>
              <w:bottom w:val="single" w:color="auto" w:sz="4" w:space="0"/>
              <w:right w:val="single" w:color="auto" w:sz="4" w:space="0"/>
            </w:tcBorders>
            <w:vAlign w:val="center"/>
          </w:tcPr>
          <w:p w14:paraId="596335F4">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i w:val="0"/>
                <w:iCs w:val="0"/>
                <w:snapToGrid w:val="0"/>
                <w:color w:val="000000"/>
                <w:kern w:val="0"/>
                <w:sz w:val="22"/>
                <w:szCs w:val="22"/>
                <w:u w:val="none"/>
                <w:lang w:val="en-US" w:eastAsia="zh-CN" w:bidi="ar"/>
              </w:rPr>
              <w:t>公共通识选修课</w:t>
            </w:r>
          </w:p>
        </w:tc>
        <w:tc>
          <w:tcPr>
            <w:tcW w:w="759" w:type="dxa"/>
            <w:tcBorders>
              <w:top w:val="single" w:color="auto" w:sz="4" w:space="0"/>
              <w:left w:val="single" w:color="auto" w:sz="4" w:space="0"/>
              <w:bottom w:val="single" w:color="auto" w:sz="4" w:space="0"/>
              <w:right w:val="single" w:color="auto" w:sz="4" w:space="0"/>
            </w:tcBorders>
            <w:vAlign w:val="center"/>
          </w:tcPr>
          <w:p w14:paraId="765BE79A">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8</w:t>
            </w:r>
          </w:p>
        </w:tc>
        <w:tc>
          <w:tcPr>
            <w:tcW w:w="759" w:type="dxa"/>
            <w:tcBorders>
              <w:top w:val="single" w:color="auto" w:sz="4" w:space="0"/>
              <w:left w:val="single" w:color="auto" w:sz="4" w:space="0"/>
              <w:bottom w:val="single" w:color="auto" w:sz="4" w:space="0"/>
              <w:right w:val="single" w:color="auto" w:sz="4" w:space="0"/>
            </w:tcBorders>
            <w:vAlign w:val="center"/>
          </w:tcPr>
          <w:p w14:paraId="4DBE99C6">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136</w:t>
            </w:r>
          </w:p>
        </w:tc>
        <w:tc>
          <w:tcPr>
            <w:tcW w:w="759" w:type="dxa"/>
            <w:tcBorders>
              <w:top w:val="single" w:color="auto" w:sz="4" w:space="0"/>
              <w:left w:val="single" w:color="auto" w:sz="4" w:space="0"/>
              <w:bottom w:val="single" w:color="auto" w:sz="4" w:space="0"/>
              <w:right w:val="single" w:color="auto" w:sz="4" w:space="0"/>
            </w:tcBorders>
            <w:vAlign w:val="center"/>
          </w:tcPr>
          <w:p w14:paraId="7959943A">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136</w:t>
            </w:r>
          </w:p>
        </w:tc>
        <w:tc>
          <w:tcPr>
            <w:tcW w:w="759" w:type="dxa"/>
            <w:tcBorders>
              <w:top w:val="single" w:color="auto" w:sz="4" w:space="0"/>
              <w:left w:val="single" w:color="auto" w:sz="4" w:space="0"/>
              <w:bottom w:val="single" w:color="auto" w:sz="4" w:space="0"/>
              <w:right w:val="single" w:color="auto" w:sz="4" w:space="0"/>
            </w:tcBorders>
            <w:vAlign w:val="center"/>
          </w:tcPr>
          <w:p w14:paraId="044058DB">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0</w:t>
            </w:r>
          </w:p>
        </w:tc>
        <w:tc>
          <w:tcPr>
            <w:tcW w:w="1108" w:type="dxa"/>
            <w:tcBorders>
              <w:top w:val="single" w:color="auto" w:sz="4" w:space="0"/>
              <w:left w:val="single" w:color="auto" w:sz="4" w:space="0"/>
              <w:bottom w:val="single" w:color="auto" w:sz="4" w:space="0"/>
              <w:right w:val="single" w:color="auto" w:sz="4" w:space="0"/>
            </w:tcBorders>
            <w:vAlign w:val="center"/>
          </w:tcPr>
          <w:p w14:paraId="0FAC46F1">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0.00%</w:t>
            </w:r>
          </w:p>
        </w:tc>
        <w:tc>
          <w:tcPr>
            <w:tcW w:w="1466" w:type="dxa"/>
            <w:tcBorders>
              <w:top w:val="single" w:color="auto" w:sz="4" w:space="0"/>
              <w:left w:val="single" w:color="auto" w:sz="4" w:space="0"/>
              <w:bottom w:val="single" w:color="auto" w:sz="4" w:space="0"/>
              <w:right w:val="single" w:color="auto" w:sz="4" w:space="0"/>
            </w:tcBorders>
            <w:vAlign w:val="center"/>
          </w:tcPr>
          <w:p w14:paraId="00F92920">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4.73%</w:t>
            </w:r>
          </w:p>
        </w:tc>
      </w:tr>
      <w:tr w14:paraId="2A109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2933" w:type="dxa"/>
            <w:gridSpan w:val="2"/>
            <w:tcBorders>
              <w:top w:val="single" w:color="auto" w:sz="4" w:space="0"/>
              <w:left w:val="single" w:color="auto" w:sz="4" w:space="0"/>
              <w:bottom w:val="single" w:color="auto" w:sz="4" w:space="0"/>
              <w:right w:val="single" w:color="auto" w:sz="4" w:space="0"/>
            </w:tcBorders>
            <w:vAlign w:val="center"/>
          </w:tcPr>
          <w:p w14:paraId="79459202">
            <w:pPr>
              <w:keepNext w:val="0"/>
              <w:keepLines w:val="0"/>
              <w:widowControl/>
              <w:suppressLineNumbers w:val="0"/>
              <w:jc w:val="center"/>
              <w:textAlignment w:val="center"/>
              <w:rPr>
                <w:rFonts w:hint="default"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i w:val="0"/>
                <w:iCs w:val="0"/>
                <w:snapToGrid w:val="0"/>
                <w:color w:val="000000"/>
                <w:kern w:val="0"/>
                <w:sz w:val="22"/>
                <w:szCs w:val="22"/>
                <w:u w:val="none"/>
                <w:lang w:val="en-US" w:eastAsia="zh-CN" w:bidi="ar"/>
              </w:rPr>
              <w:t>选修课小计</w:t>
            </w:r>
          </w:p>
        </w:tc>
        <w:tc>
          <w:tcPr>
            <w:tcW w:w="759" w:type="dxa"/>
            <w:tcBorders>
              <w:top w:val="single" w:color="auto" w:sz="4" w:space="0"/>
              <w:left w:val="single" w:color="auto" w:sz="4" w:space="0"/>
              <w:bottom w:val="single" w:color="auto" w:sz="4" w:space="0"/>
              <w:right w:val="single" w:color="auto" w:sz="4" w:space="0"/>
            </w:tcBorders>
            <w:vAlign w:val="center"/>
          </w:tcPr>
          <w:p w14:paraId="41019EA8">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24</w:t>
            </w:r>
          </w:p>
        </w:tc>
        <w:tc>
          <w:tcPr>
            <w:tcW w:w="759" w:type="dxa"/>
            <w:tcBorders>
              <w:top w:val="single" w:color="auto" w:sz="4" w:space="0"/>
              <w:left w:val="single" w:color="auto" w:sz="4" w:space="0"/>
              <w:bottom w:val="single" w:color="auto" w:sz="4" w:space="0"/>
              <w:right w:val="single" w:color="auto" w:sz="4" w:space="0"/>
            </w:tcBorders>
            <w:vAlign w:val="center"/>
          </w:tcPr>
          <w:p w14:paraId="297A7978">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380</w:t>
            </w:r>
          </w:p>
        </w:tc>
        <w:tc>
          <w:tcPr>
            <w:tcW w:w="759" w:type="dxa"/>
            <w:tcBorders>
              <w:top w:val="single" w:color="auto" w:sz="4" w:space="0"/>
              <w:left w:val="single" w:color="auto" w:sz="4" w:space="0"/>
              <w:bottom w:val="single" w:color="auto" w:sz="4" w:space="0"/>
              <w:right w:val="single" w:color="auto" w:sz="4" w:space="0"/>
            </w:tcBorders>
            <w:vAlign w:val="center"/>
          </w:tcPr>
          <w:p w14:paraId="6A76D07A">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310</w:t>
            </w:r>
          </w:p>
        </w:tc>
        <w:tc>
          <w:tcPr>
            <w:tcW w:w="759" w:type="dxa"/>
            <w:tcBorders>
              <w:top w:val="single" w:color="auto" w:sz="4" w:space="0"/>
              <w:left w:val="single" w:color="auto" w:sz="4" w:space="0"/>
              <w:bottom w:val="single" w:color="auto" w:sz="4" w:space="0"/>
              <w:right w:val="single" w:color="auto" w:sz="4" w:space="0"/>
            </w:tcBorders>
            <w:vAlign w:val="center"/>
          </w:tcPr>
          <w:p w14:paraId="2D548680">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70</w:t>
            </w:r>
          </w:p>
        </w:tc>
        <w:tc>
          <w:tcPr>
            <w:tcW w:w="1108" w:type="dxa"/>
            <w:tcBorders>
              <w:top w:val="single" w:color="auto" w:sz="4" w:space="0"/>
              <w:left w:val="single" w:color="auto" w:sz="4" w:space="0"/>
              <w:bottom w:val="single" w:color="auto" w:sz="4" w:space="0"/>
              <w:right w:val="single" w:color="auto" w:sz="4" w:space="0"/>
            </w:tcBorders>
            <w:vAlign w:val="center"/>
          </w:tcPr>
          <w:p w14:paraId="169BBF29">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18.42%</w:t>
            </w:r>
          </w:p>
        </w:tc>
        <w:tc>
          <w:tcPr>
            <w:tcW w:w="1466" w:type="dxa"/>
            <w:tcBorders>
              <w:top w:val="single" w:color="auto" w:sz="4" w:space="0"/>
              <w:left w:val="single" w:color="auto" w:sz="4" w:space="0"/>
              <w:bottom w:val="single" w:color="auto" w:sz="4" w:space="0"/>
              <w:right w:val="single" w:color="auto" w:sz="4" w:space="0"/>
            </w:tcBorders>
            <w:vAlign w:val="center"/>
          </w:tcPr>
          <w:p w14:paraId="4049D2AE">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13.20%</w:t>
            </w:r>
          </w:p>
        </w:tc>
      </w:tr>
      <w:tr w14:paraId="16695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2933" w:type="dxa"/>
            <w:gridSpan w:val="2"/>
            <w:tcBorders>
              <w:top w:val="single" w:color="auto" w:sz="4" w:space="0"/>
              <w:left w:val="single" w:color="auto" w:sz="4" w:space="0"/>
              <w:bottom w:val="single" w:color="auto" w:sz="4" w:space="0"/>
              <w:right w:val="single" w:color="auto" w:sz="4" w:space="0"/>
            </w:tcBorders>
            <w:vAlign w:val="center"/>
          </w:tcPr>
          <w:p w14:paraId="2386B5AE">
            <w:pPr>
              <w:keepNext w:val="0"/>
              <w:keepLines w:val="0"/>
              <w:widowControl/>
              <w:suppressLineNumbers w:val="0"/>
              <w:jc w:val="center"/>
              <w:textAlignment w:val="center"/>
              <w:rPr>
                <w:rFonts w:hint="default"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i w:val="0"/>
                <w:iCs w:val="0"/>
                <w:snapToGrid w:val="0"/>
                <w:color w:val="000000"/>
                <w:kern w:val="0"/>
                <w:sz w:val="22"/>
                <w:szCs w:val="22"/>
                <w:u w:val="none"/>
                <w:lang w:val="en-US" w:eastAsia="zh-CN" w:bidi="ar"/>
              </w:rPr>
              <w:t>公共课小计</w:t>
            </w:r>
          </w:p>
        </w:tc>
        <w:tc>
          <w:tcPr>
            <w:tcW w:w="759" w:type="dxa"/>
            <w:tcBorders>
              <w:top w:val="single" w:color="auto" w:sz="4" w:space="0"/>
              <w:left w:val="single" w:color="auto" w:sz="4" w:space="0"/>
              <w:bottom w:val="single" w:color="auto" w:sz="4" w:space="0"/>
              <w:right w:val="single" w:color="auto" w:sz="4" w:space="0"/>
            </w:tcBorders>
            <w:vAlign w:val="center"/>
          </w:tcPr>
          <w:p w14:paraId="76F4E68B">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58</w:t>
            </w:r>
          </w:p>
        </w:tc>
        <w:tc>
          <w:tcPr>
            <w:tcW w:w="759" w:type="dxa"/>
            <w:tcBorders>
              <w:top w:val="single" w:color="auto" w:sz="4" w:space="0"/>
              <w:left w:val="single" w:color="auto" w:sz="4" w:space="0"/>
              <w:bottom w:val="single" w:color="auto" w:sz="4" w:space="0"/>
              <w:right w:val="single" w:color="auto" w:sz="4" w:space="0"/>
            </w:tcBorders>
            <w:vAlign w:val="center"/>
          </w:tcPr>
          <w:p w14:paraId="2D0CBBFA">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962</w:t>
            </w:r>
          </w:p>
        </w:tc>
        <w:tc>
          <w:tcPr>
            <w:tcW w:w="759" w:type="dxa"/>
            <w:tcBorders>
              <w:top w:val="single" w:color="auto" w:sz="4" w:space="0"/>
              <w:left w:val="single" w:color="auto" w:sz="4" w:space="0"/>
              <w:bottom w:val="single" w:color="auto" w:sz="4" w:space="0"/>
              <w:right w:val="single" w:color="auto" w:sz="4" w:space="0"/>
            </w:tcBorders>
            <w:vAlign w:val="center"/>
          </w:tcPr>
          <w:p w14:paraId="7886CA7A">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566</w:t>
            </w:r>
          </w:p>
        </w:tc>
        <w:tc>
          <w:tcPr>
            <w:tcW w:w="759" w:type="dxa"/>
            <w:tcBorders>
              <w:top w:val="single" w:color="auto" w:sz="4" w:space="0"/>
              <w:left w:val="single" w:color="auto" w:sz="4" w:space="0"/>
              <w:bottom w:val="single" w:color="auto" w:sz="4" w:space="0"/>
              <w:right w:val="single" w:color="auto" w:sz="4" w:space="0"/>
            </w:tcBorders>
            <w:vAlign w:val="center"/>
          </w:tcPr>
          <w:p w14:paraId="736E5A71">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396</w:t>
            </w:r>
          </w:p>
        </w:tc>
        <w:tc>
          <w:tcPr>
            <w:tcW w:w="1108" w:type="dxa"/>
            <w:tcBorders>
              <w:top w:val="single" w:color="auto" w:sz="4" w:space="0"/>
              <w:left w:val="single" w:color="auto" w:sz="4" w:space="0"/>
              <w:bottom w:val="single" w:color="auto" w:sz="4" w:space="0"/>
              <w:right w:val="single" w:color="auto" w:sz="4" w:space="0"/>
            </w:tcBorders>
            <w:vAlign w:val="center"/>
          </w:tcPr>
          <w:p w14:paraId="7A7815CD">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41.16%</w:t>
            </w:r>
          </w:p>
        </w:tc>
        <w:tc>
          <w:tcPr>
            <w:tcW w:w="1466" w:type="dxa"/>
            <w:tcBorders>
              <w:top w:val="single" w:color="auto" w:sz="4" w:space="0"/>
              <w:left w:val="single" w:color="auto" w:sz="4" w:space="0"/>
              <w:bottom w:val="single" w:color="auto" w:sz="4" w:space="0"/>
              <w:right w:val="single" w:color="auto" w:sz="4" w:space="0"/>
            </w:tcBorders>
            <w:vAlign w:val="center"/>
          </w:tcPr>
          <w:p w14:paraId="1C3E968D">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33.43%</w:t>
            </w:r>
          </w:p>
        </w:tc>
      </w:tr>
      <w:tr w14:paraId="15F0E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2933" w:type="dxa"/>
            <w:gridSpan w:val="2"/>
            <w:tcBorders>
              <w:top w:val="single" w:color="auto" w:sz="4" w:space="0"/>
              <w:left w:val="single" w:color="auto" w:sz="4" w:space="0"/>
              <w:bottom w:val="single" w:color="auto" w:sz="4" w:space="0"/>
              <w:right w:val="single" w:color="auto" w:sz="4" w:space="0"/>
            </w:tcBorders>
            <w:vAlign w:val="center"/>
          </w:tcPr>
          <w:p w14:paraId="28D30DBB">
            <w:pPr>
              <w:keepNext w:val="0"/>
              <w:keepLines w:val="0"/>
              <w:widowControl/>
              <w:suppressLineNumbers w:val="0"/>
              <w:jc w:val="center"/>
              <w:textAlignment w:val="center"/>
              <w:rPr>
                <w:rFonts w:hint="eastAsia" w:ascii="宋体" w:hAnsi="宋体" w:eastAsia="宋体" w:cs="宋体"/>
                <w:b w:val="0"/>
                <w:bCs w:val="0"/>
                <w:i w:val="0"/>
                <w:iCs w:val="0"/>
                <w:snapToGrid w:val="0"/>
                <w:color w:val="000000"/>
                <w:kern w:val="0"/>
                <w:sz w:val="22"/>
                <w:szCs w:val="22"/>
                <w:u w:val="none"/>
                <w:lang w:val="en-US" w:eastAsia="zh-CN" w:bidi="ar"/>
              </w:rPr>
            </w:pPr>
            <w:r>
              <w:rPr>
                <w:rFonts w:hint="eastAsia" w:ascii="宋体" w:hAnsi="宋体" w:eastAsia="宋体" w:cs="宋体"/>
                <w:b/>
                <w:i w:val="0"/>
                <w:iCs w:val="0"/>
                <w:snapToGrid w:val="0"/>
                <w:color w:val="000000"/>
                <w:kern w:val="0"/>
                <w:sz w:val="22"/>
                <w:szCs w:val="22"/>
                <w:u w:val="none"/>
                <w:lang w:val="en-US" w:eastAsia="zh-CN" w:bidi="ar"/>
              </w:rPr>
              <w:t>总计</w:t>
            </w:r>
          </w:p>
        </w:tc>
        <w:tc>
          <w:tcPr>
            <w:tcW w:w="759" w:type="dxa"/>
            <w:tcBorders>
              <w:top w:val="single" w:color="auto" w:sz="4" w:space="0"/>
              <w:left w:val="single" w:color="auto" w:sz="4" w:space="0"/>
              <w:bottom w:val="single" w:color="auto" w:sz="4" w:space="0"/>
              <w:right w:val="single" w:color="auto" w:sz="4" w:space="0"/>
            </w:tcBorders>
            <w:vAlign w:val="center"/>
          </w:tcPr>
          <w:p w14:paraId="56FB5055">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160</w:t>
            </w:r>
          </w:p>
        </w:tc>
        <w:tc>
          <w:tcPr>
            <w:tcW w:w="759" w:type="dxa"/>
            <w:tcBorders>
              <w:top w:val="single" w:color="auto" w:sz="4" w:space="0"/>
              <w:left w:val="single" w:color="auto" w:sz="4" w:space="0"/>
              <w:bottom w:val="single" w:color="auto" w:sz="4" w:space="0"/>
              <w:right w:val="single" w:color="auto" w:sz="4" w:space="0"/>
            </w:tcBorders>
            <w:vAlign w:val="center"/>
          </w:tcPr>
          <w:p w14:paraId="7121F2D7">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2878</w:t>
            </w:r>
          </w:p>
        </w:tc>
        <w:tc>
          <w:tcPr>
            <w:tcW w:w="759" w:type="dxa"/>
            <w:tcBorders>
              <w:top w:val="single" w:color="auto" w:sz="4" w:space="0"/>
              <w:left w:val="single" w:color="auto" w:sz="4" w:space="0"/>
              <w:bottom w:val="single" w:color="auto" w:sz="4" w:space="0"/>
              <w:right w:val="single" w:color="auto" w:sz="4" w:space="0"/>
            </w:tcBorders>
            <w:vAlign w:val="center"/>
          </w:tcPr>
          <w:p w14:paraId="12B8E509">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1248</w:t>
            </w:r>
          </w:p>
        </w:tc>
        <w:tc>
          <w:tcPr>
            <w:tcW w:w="759" w:type="dxa"/>
            <w:tcBorders>
              <w:top w:val="single" w:color="auto" w:sz="4" w:space="0"/>
              <w:left w:val="single" w:color="auto" w:sz="4" w:space="0"/>
              <w:bottom w:val="single" w:color="auto" w:sz="4" w:space="0"/>
              <w:right w:val="single" w:color="auto" w:sz="4" w:space="0"/>
            </w:tcBorders>
            <w:vAlign w:val="center"/>
          </w:tcPr>
          <w:p w14:paraId="3CB781D8">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1630</w:t>
            </w:r>
          </w:p>
        </w:tc>
        <w:tc>
          <w:tcPr>
            <w:tcW w:w="1108" w:type="dxa"/>
            <w:tcBorders>
              <w:top w:val="single" w:color="auto" w:sz="4" w:space="0"/>
              <w:left w:val="single" w:color="auto" w:sz="4" w:space="0"/>
              <w:bottom w:val="single" w:color="auto" w:sz="4" w:space="0"/>
              <w:right w:val="single" w:color="auto" w:sz="4" w:space="0"/>
            </w:tcBorders>
            <w:vAlign w:val="center"/>
          </w:tcPr>
          <w:p w14:paraId="711B8D22">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56.64%</w:t>
            </w:r>
          </w:p>
        </w:tc>
        <w:tc>
          <w:tcPr>
            <w:tcW w:w="1466" w:type="dxa"/>
            <w:tcBorders>
              <w:top w:val="single" w:color="auto" w:sz="4" w:space="0"/>
              <w:left w:val="single" w:color="auto" w:sz="4" w:space="0"/>
              <w:bottom w:val="single" w:color="auto" w:sz="4" w:space="0"/>
              <w:right w:val="single" w:color="auto" w:sz="4" w:space="0"/>
            </w:tcBorders>
            <w:vAlign w:val="center"/>
          </w:tcPr>
          <w:p w14:paraId="66249B74">
            <w:pPr>
              <w:keepNext w:val="0"/>
              <w:keepLines w:val="0"/>
              <w:widowControl/>
              <w:suppressLineNumbers w:val="0"/>
              <w:jc w:val="center"/>
              <w:textAlignment w:val="center"/>
              <w:rPr>
                <w:rFonts w:hint="default" w:ascii="Times New Roman" w:hAnsi="Times New Roman" w:eastAsia="宋体" w:cs="Times New Roman"/>
                <w:b w:val="0"/>
                <w:bCs/>
                <w:i w:val="0"/>
                <w:iCs w:val="0"/>
                <w:snapToGrid w:val="0"/>
                <w:color w:val="000000"/>
                <w:kern w:val="0"/>
                <w:sz w:val="22"/>
                <w:szCs w:val="22"/>
                <w:u w:val="none"/>
                <w:lang w:val="en-US" w:eastAsia="zh-CN" w:bidi="ar"/>
              </w:rPr>
            </w:pPr>
            <w:r>
              <w:rPr>
                <w:rFonts w:hint="default" w:ascii="Times New Roman" w:hAnsi="Times New Roman" w:eastAsia="宋体" w:cs="Times New Roman"/>
                <w:b w:val="0"/>
                <w:bCs/>
                <w:i w:val="0"/>
                <w:iCs w:val="0"/>
                <w:snapToGrid w:val="0"/>
                <w:color w:val="000000"/>
                <w:kern w:val="0"/>
                <w:sz w:val="22"/>
                <w:szCs w:val="22"/>
                <w:u w:val="none"/>
                <w:lang w:val="en-US" w:eastAsia="zh-CN" w:bidi="ar"/>
              </w:rPr>
              <w:t>100.00%</w:t>
            </w:r>
          </w:p>
        </w:tc>
      </w:tr>
    </w:tbl>
    <w:p w14:paraId="77067B7B">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35" w:name="_Toc23366"/>
      <w:bookmarkStart w:id="36" w:name="_Toc19978"/>
      <w:r>
        <w:t>八、实施保障</w:t>
      </w:r>
      <w:bookmarkEnd w:id="35"/>
      <w:bookmarkEnd w:id="36"/>
    </w:p>
    <w:p w14:paraId="0FB5C787">
      <w:pPr>
        <w:pStyle w:val="3"/>
        <w:keepNext/>
        <w:keepLines/>
        <w:pageBreakBefore w:val="0"/>
        <w:widowControl/>
        <w:kinsoku w:val="0"/>
        <w:wordWrap/>
        <w:overflowPunct/>
        <w:topLinePunct w:val="0"/>
        <w:autoSpaceDE w:val="0"/>
        <w:autoSpaceDN w:val="0"/>
        <w:bidi w:val="0"/>
        <w:adjustRightInd w:val="0"/>
        <w:snapToGrid w:val="0"/>
        <w:spacing w:before="0" w:beforeLines="50" w:after="0" w:line="240" w:lineRule="auto"/>
        <w:textAlignment w:val="baseline"/>
      </w:pPr>
      <w:bookmarkStart w:id="37" w:name="_Toc13267"/>
      <w:bookmarkStart w:id="38" w:name="_Toc29145"/>
      <w:r>
        <w:t>（一）师资队伍</w:t>
      </w:r>
      <w:bookmarkEnd w:id="37"/>
      <w:bookmarkEnd w:id="38"/>
    </w:p>
    <w:p w14:paraId="1611303C">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textAlignment w:val="baseline"/>
        <w:rPr>
          <w:rFonts w:hint="eastAsia"/>
          <w:spacing w:val="8"/>
          <w:lang w:val="en-US" w:eastAsia="zh-CN"/>
        </w:rPr>
      </w:pPr>
      <w:r>
        <w:rPr>
          <w:rFonts w:hint="eastAsia"/>
          <w:spacing w:val="8"/>
          <w:lang w:val="en-US" w:eastAsia="zh-CN"/>
        </w:rPr>
        <w:t>1.队伍结构</w:t>
      </w:r>
    </w:p>
    <w:p w14:paraId="43E8B7AB">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b w:val="0"/>
          <w:bCs/>
          <w:spacing w:val="8"/>
          <w:lang w:val="en-US" w:eastAsia="zh-CN"/>
        </w:rPr>
      </w:pPr>
      <w:r>
        <w:rPr>
          <w:rFonts w:hint="eastAsia"/>
          <w:b w:val="0"/>
          <w:bCs/>
          <w:spacing w:val="8"/>
          <w:lang w:val="en-US" w:eastAsia="zh-CN"/>
        </w:rPr>
        <w:t>本专业现有专任教师33人，其中基础课教师14人，专业课教师19人，副高及以上职称教师13人，双师素质教师占90%。</w:t>
      </w:r>
    </w:p>
    <w:p w14:paraId="417D837E">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spacing w:val="8"/>
          <w:lang w:val="en-US" w:eastAsia="zh-CN"/>
        </w:rPr>
      </w:pPr>
      <w:r>
        <w:rPr>
          <w:rFonts w:hint="eastAsia"/>
          <w:spacing w:val="8"/>
          <w:lang w:val="en-US" w:eastAsia="zh-CN"/>
        </w:rPr>
        <w:t>2.专任教师</w:t>
      </w:r>
    </w:p>
    <w:p w14:paraId="48DE6BBA">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b w:val="0"/>
          <w:bCs/>
          <w:spacing w:val="8"/>
          <w:lang w:val="en-US" w:eastAsia="zh-CN"/>
        </w:rPr>
      </w:pPr>
      <w:r>
        <w:rPr>
          <w:rFonts w:hint="eastAsia"/>
          <w:b w:val="0"/>
          <w:bCs/>
          <w:spacing w:val="8"/>
          <w:lang w:val="en-US" w:eastAsia="zh-CN"/>
        </w:rPr>
        <w:t>本专业教师具有高校教师资格证占95%，教师教书育人理想信念坚定，有道德情操、有扎实学识、有仁爱之心；具有口腔医学技术相关专业本科及以上学历，有扎实的理论功底和实践能力；具有较强信息化教学能力，能够开展课程教学改革和科学研究。</w:t>
      </w:r>
    </w:p>
    <w:p w14:paraId="69B2236D">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spacing w:val="8"/>
          <w:lang w:val="en-US" w:eastAsia="zh-CN"/>
        </w:rPr>
      </w:pPr>
      <w:r>
        <w:rPr>
          <w:rFonts w:hint="eastAsia"/>
          <w:spacing w:val="8"/>
          <w:lang w:val="en-US" w:eastAsia="zh-CN"/>
        </w:rPr>
        <w:t>3.专业带头人</w:t>
      </w:r>
    </w:p>
    <w:p w14:paraId="55B744CC">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b w:val="0"/>
          <w:bCs/>
          <w:spacing w:val="8"/>
          <w:lang w:val="en-US" w:eastAsia="zh-CN"/>
        </w:rPr>
      </w:pPr>
      <w:r>
        <w:rPr>
          <w:rFonts w:hint="eastAsia"/>
          <w:b w:val="0"/>
          <w:bCs/>
          <w:spacing w:val="8"/>
          <w:lang w:val="en-US" w:eastAsia="zh-CN"/>
        </w:rPr>
        <w:t>本专业有正高及以上职称专业带头人3人，担任甘肃省口腔医学会常务理事，能够较好地把握国内外口腔医学专业、行业的发展，具有较高的专业水平和较强的科研能力，能够引领专业建设及教学改革，在本区域及本领域具有一定的影响力。</w:t>
      </w:r>
    </w:p>
    <w:p w14:paraId="577E30D1">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spacing w:val="8"/>
          <w:lang w:val="en-US" w:eastAsia="zh-CN"/>
        </w:rPr>
      </w:pPr>
      <w:r>
        <w:rPr>
          <w:rFonts w:hint="eastAsia"/>
          <w:spacing w:val="8"/>
          <w:lang w:val="en-US" w:eastAsia="zh-CN"/>
        </w:rPr>
        <w:t>4.兼职教师</w:t>
      </w:r>
    </w:p>
    <w:p w14:paraId="1FDEC095">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default"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除以上师资队伍说明外，在深化校企合作的进程中，本专业与深圳康泰健医疗科技股份有限公司、现代牙科技术（东莞）有限公司等多家行业领军企业携手，共同成立口腔医学技术教研室，推进“产教融合协同育人”合作办学培养模式。依托这一深度合作平台，校企双方整合优势资源，从课程开发、师资共建到实践指导开展全方位协同育人。其中，企业遴选 15 名具备深厚行业积淀的资深专家担任导师，这些导师不仅拥有良好的思想政治素质与职业道德，还具备中级及以上专业技术职称，且在行业技术岗位深耕 5 年以上。他们深度参与专业建设，校企共同订制人才培养方案、承担专业课程教学、实习实训指导等教学任务，同时为学生量身定制职业发展规划，将行业前沿技术、实战经验与职业素养要求融入教学全过程。通过校企共建教研室、共育师资队伍的创新模式，有效实现了教育教学与产业需求的无缝对接，为培养高素质口腔医学技术人才筑牢坚实基础。</w:t>
      </w:r>
    </w:p>
    <w:p w14:paraId="7F35A3AD">
      <w:pPr>
        <w:pStyle w:val="3"/>
        <w:keepNext/>
        <w:keepLines/>
        <w:pageBreakBefore w:val="0"/>
        <w:widowControl/>
        <w:kinsoku/>
        <w:wordWrap/>
        <w:overflowPunct/>
        <w:topLinePunct w:val="0"/>
        <w:autoSpaceDE w:val="0"/>
        <w:autoSpaceDN w:val="0"/>
        <w:bidi w:val="0"/>
        <w:adjustRightInd w:val="0"/>
        <w:snapToGrid w:val="0"/>
        <w:spacing w:before="0" w:beforeLines="50" w:after="0" w:line="240" w:lineRule="auto"/>
        <w:textAlignment w:val="baseline"/>
      </w:pPr>
      <w:bookmarkStart w:id="39" w:name="_Toc28336"/>
      <w:bookmarkStart w:id="40" w:name="_Toc8060"/>
      <w:r>
        <w:t>（二）教学设施</w:t>
      </w:r>
      <w:bookmarkEnd w:id="39"/>
      <w:bookmarkEnd w:id="40"/>
    </w:p>
    <w:p w14:paraId="7D799913">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textAlignment w:val="baseline"/>
        <w:rPr>
          <w:rFonts w:hint="eastAsia"/>
          <w:spacing w:val="8"/>
          <w:lang w:val="en-US" w:eastAsia="zh-CN"/>
        </w:rPr>
      </w:pPr>
      <w:r>
        <w:rPr>
          <w:rFonts w:hint="eastAsia"/>
          <w:spacing w:val="8"/>
          <w:lang w:val="en-US" w:eastAsia="zh-CN"/>
        </w:rPr>
        <w:t>1.专业教室基本条件</w:t>
      </w:r>
    </w:p>
    <w:p w14:paraId="777AB841">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spacing w:val="8"/>
          <w:lang w:val="en-US" w:eastAsia="zh-CN"/>
        </w:rPr>
      </w:pPr>
      <w:r>
        <w:rPr>
          <w:rFonts w:hint="eastAsia"/>
          <w:spacing w:val="8"/>
          <w:lang w:val="en-US" w:eastAsia="zh-CN"/>
        </w:rPr>
        <w:t>（1）普通教室</w:t>
      </w:r>
    </w:p>
    <w:p w14:paraId="1530C96E">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spacing w:val="8"/>
          <w:lang w:val="en-US" w:eastAsia="zh-CN"/>
        </w:rPr>
      </w:pPr>
      <w:r>
        <w:rPr>
          <w:rFonts w:hint="eastAsia"/>
          <w:b w:val="0"/>
          <w:bCs/>
          <w:spacing w:val="8"/>
          <w:lang w:val="en-US" w:eastAsia="zh-CN"/>
        </w:rPr>
        <w:t>配备黑（白）板、多媒体计算机、投影设备、音响设备、互联网接入或者Wi-Fi环境，并实施网络安全防护措施；安装应急照明设备并保持良好状态，符合紧急疏散要求，标志明显，保持逃生通道畅通无阻。采用小班化教学，班额为50人左右的标准化教室。</w:t>
      </w:r>
    </w:p>
    <w:p w14:paraId="64AF8559">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spacing w:val="8"/>
          <w:lang w:val="en-US" w:eastAsia="zh-CN"/>
        </w:rPr>
      </w:pPr>
      <w:r>
        <w:rPr>
          <w:rFonts w:hint="eastAsia"/>
          <w:spacing w:val="8"/>
          <w:lang w:val="en-US" w:eastAsia="zh-CN"/>
        </w:rPr>
        <w:t>（2）理实一体化教室</w:t>
      </w:r>
    </w:p>
    <w:p w14:paraId="5E9C65A2">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spacing w:val="8"/>
          <w:lang w:val="en-US" w:eastAsia="zh-CN"/>
        </w:rPr>
      </w:pPr>
      <w:r>
        <w:rPr>
          <w:rFonts w:hint="eastAsia"/>
          <w:b w:val="0"/>
          <w:bCs/>
          <w:spacing w:val="8"/>
          <w:lang w:val="en-US" w:eastAsia="zh-CN"/>
        </w:rPr>
        <w:t>校内建有近2600平方米的口腔医学技术实训中心，包括口腔临床实训室、口腔仿头模实训室、口腔数字化实训室、颌面影像实训室等20间实训室，配备CAD/CAM系统、口内扫描仪等主流设备，设备总值达1517万元。适配本专业“理实结合、岗课融通”教学理念，能够实现“边教、边学、边练、边评”的沉浸式教学，有效衔接课堂教学与企业岗位实操标准，助力学生夯实专业基础技能、规范职业操作习惯，全面提升岗位适配能力与专业实操素养，深度保障产教融合协同育人的落地实施。</w:t>
      </w:r>
      <w:r>
        <w:rPr>
          <w:rFonts w:hint="eastAsia"/>
          <w:spacing w:val="8"/>
          <w:lang w:val="en-US" w:eastAsia="zh-CN"/>
        </w:rPr>
        <w:t xml:space="preserve"> </w:t>
      </w:r>
    </w:p>
    <w:p w14:paraId="38A3F4CF">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textAlignment w:val="baseline"/>
        <w:rPr>
          <w:rFonts w:hint="eastAsia"/>
          <w:spacing w:val="8"/>
          <w:lang w:val="en-US" w:eastAsia="zh-CN"/>
        </w:rPr>
      </w:pPr>
      <w:r>
        <w:rPr>
          <w:rFonts w:hint="eastAsia"/>
          <w:spacing w:val="8"/>
          <w:lang w:val="en-US" w:eastAsia="zh-CN"/>
        </w:rPr>
        <w:t>2.校内实验、实训基地一览表</w:t>
      </w:r>
    </w:p>
    <w:p w14:paraId="59DA4479">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textAlignment w:val="baseline"/>
        <w:rPr>
          <w:rFonts w:hint="eastAsia"/>
          <w:spacing w:val="8"/>
          <w:lang w:val="en-US" w:eastAsia="zh-CN"/>
        </w:rPr>
      </w:pPr>
    </w:p>
    <w:tbl>
      <w:tblPr>
        <w:tblStyle w:val="13"/>
        <w:tblW w:w="9491" w:type="dxa"/>
        <w:tblInd w:w="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5"/>
        <w:gridCol w:w="1615"/>
        <w:gridCol w:w="1587"/>
        <w:gridCol w:w="1701"/>
        <w:gridCol w:w="722"/>
        <w:gridCol w:w="870"/>
        <w:gridCol w:w="2411"/>
      </w:tblGrid>
      <w:tr w14:paraId="2A0A3F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585" w:type="dxa"/>
            <w:vAlign w:val="top"/>
          </w:tcPr>
          <w:p w14:paraId="776AA418">
            <w:pPr>
              <w:pageBreakBefore w:val="0"/>
              <w:widowControl/>
              <w:kinsoku/>
              <w:wordWrap/>
              <w:overflowPunct/>
              <w:topLinePunct w:val="0"/>
              <w:autoSpaceDE w:val="0"/>
              <w:autoSpaceDN w:val="0"/>
              <w:bidi w:val="0"/>
              <w:adjustRightInd w:val="0"/>
              <w:snapToGrid w:val="0"/>
              <w:spacing w:before="273" w:line="234" w:lineRule="auto"/>
              <w:ind w:left="142"/>
              <w:jc w:val="center"/>
              <w:textAlignment w:val="baseline"/>
              <w:rPr>
                <w:rFonts w:ascii="楷体" w:hAnsi="楷体" w:eastAsia="楷体" w:cs="楷体"/>
                <w:sz w:val="20"/>
                <w:szCs w:val="20"/>
              </w:rPr>
            </w:pPr>
            <w:r>
              <w:rPr>
                <w:rFonts w:ascii="楷体" w:hAnsi="楷体" w:eastAsia="楷体" w:cs="楷体"/>
                <w:b/>
                <w:bCs/>
                <w:spacing w:val="4"/>
                <w:sz w:val="20"/>
                <w:szCs w:val="20"/>
              </w:rPr>
              <w:t>序号</w:t>
            </w:r>
          </w:p>
        </w:tc>
        <w:tc>
          <w:tcPr>
            <w:tcW w:w="1615" w:type="dxa"/>
            <w:vAlign w:val="top"/>
          </w:tcPr>
          <w:p w14:paraId="6E2DD5AE">
            <w:pPr>
              <w:pageBreakBefore w:val="0"/>
              <w:widowControl/>
              <w:kinsoku/>
              <w:wordWrap/>
              <w:overflowPunct/>
              <w:topLinePunct w:val="0"/>
              <w:autoSpaceDE w:val="0"/>
              <w:autoSpaceDN w:val="0"/>
              <w:bidi w:val="0"/>
              <w:adjustRightInd w:val="0"/>
              <w:snapToGrid w:val="0"/>
              <w:spacing w:before="273" w:line="238" w:lineRule="auto"/>
              <w:jc w:val="center"/>
              <w:textAlignment w:val="baseline"/>
              <w:rPr>
                <w:rFonts w:ascii="楷体" w:hAnsi="楷体" w:eastAsia="楷体" w:cs="楷体"/>
                <w:sz w:val="20"/>
                <w:szCs w:val="20"/>
              </w:rPr>
            </w:pPr>
            <w:r>
              <w:rPr>
                <w:rFonts w:ascii="楷体" w:hAnsi="楷体" w:eastAsia="楷体" w:cs="楷体"/>
                <w:b/>
                <w:bCs/>
                <w:spacing w:val="6"/>
                <w:sz w:val="20"/>
                <w:szCs w:val="20"/>
              </w:rPr>
              <w:t>实验实训室名称</w:t>
            </w:r>
          </w:p>
        </w:tc>
        <w:tc>
          <w:tcPr>
            <w:tcW w:w="1587" w:type="dxa"/>
            <w:vAlign w:val="top"/>
          </w:tcPr>
          <w:p w14:paraId="15E02B3D">
            <w:pPr>
              <w:pageBreakBefore w:val="0"/>
              <w:widowControl/>
              <w:kinsoku/>
              <w:wordWrap/>
              <w:overflowPunct/>
              <w:topLinePunct w:val="0"/>
              <w:autoSpaceDE w:val="0"/>
              <w:autoSpaceDN w:val="0"/>
              <w:bidi w:val="0"/>
              <w:adjustRightInd w:val="0"/>
              <w:snapToGrid w:val="0"/>
              <w:spacing w:before="274" w:line="234" w:lineRule="auto"/>
              <w:jc w:val="center"/>
              <w:textAlignment w:val="baseline"/>
              <w:rPr>
                <w:rFonts w:ascii="楷体" w:hAnsi="楷体" w:eastAsia="楷体" w:cs="楷体"/>
                <w:sz w:val="20"/>
                <w:szCs w:val="20"/>
              </w:rPr>
            </w:pPr>
            <w:r>
              <w:rPr>
                <w:rFonts w:ascii="楷体" w:hAnsi="楷体" w:eastAsia="楷体" w:cs="楷体"/>
                <w:b/>
                <w:bCs/>
                <w:spacing w:val="5"/>
                <w:sz w:val="20"/>
                <w:szCs w:val="20"/>
              </w:rPr>
              <w:t>实验实训课程</w:t>
            </w:r>
          </w:p>
        </w:tc>
        <w:tc>
          <w:tcPr>
            <w:tcW w:w="1701" w:type="dxa"/>
            <w:vAlign w:val="top"/>
          </w:tcPr>
          <w:p w14:paraId="17733997">
            <w:pPr>
              <w:pageBreakBefore w:val="0"/>
              <w:widowControl/>
              <w:kinsoku/>
              <w:wordWrap/>
              <w:overflowPunct/>
              <w:topLinePunct w:val="0"/>
              <w:autoSpaceDE w:val="0"/>
              <w:autoSpaceDN w:val="0"/>
              <w:bidi w:val="0"/>
              <w:adjustRightInd w:val="0"/>
              <w:snapToGrid w:val="0"/>
              <w:spacing w:before="273" w:line="238" w:lineRule="auto"/>
              <w:jc w:val="center"/>
              <w:textAlignment w:val="baseline"/>
              <w:rPr>
                <w:rFonts w:ascii="楷体" w:hAnsi="楷体" w:eastAsia="楷体" w:cs="楷体"/>
                <w:b/>
                <w:bCs/>
                <w:spacing w:val="5"/>
                <w:sz w:val="20"/>
                <w:szCs w:val="20"/>
              </w:rPr>
            </w:pPr>
            <w:r>
              <w:rPr>
                <w:rFonts w:ascii="楷体" w:hAnsi="楷体" w:eastAsia="楷体" w:cs="楷体"/>
                <w:b/>
                <w:bCs/>
                <w:spacing w:val="5"/>
                <w:sz w:val="20"/>
                <w:szCs w:val="20"/>
              </w:rPr>
              <w:t>实验实训项目</w:t>
            </w:r>
          </w:p>
        </w:tc>
        <w:tc>
          <w:tcPr>
            <w:tcW w:w="722" w:type="dxa"/>
            <w:vAlign w:val="top"/>
          </w:tcPr>
          <w:p w14:paraId="2A6672CD">
            <w:pPr>
              <w:pageBreakBefore w:val="0"/>
              <w:widowControl/>
              <w:kinsoku/>
              <w:wordWrap/>
              <w:overflowPunct/>
              <w:topLinePunct w:val="0"/>
              <w:autoSpaceDE w:val="0"/>
              <w:autoSpaceDN w:val="0"/>
              <w:bidi w:val="0"/>
              <w:adjustRightInd w:val="0"/>
              <w:snapToGrid w:val="0"/>
              <w:spacing w:before="273" w:line="238" w:lineRule="auto"/>
              <w:jc w:val="center"/>
              <w:textAlignment w:val="baseline"/>
              <w:rPr>
                <w:rFonts w:hint="eastAsia" w:ascii="楷体" w:hAnsi="楷体" w:eastAsia="楷体" w:cs="楷体"/>
                <w:b/>
                <w:bCs/>
                <w:spacing w:val="5"/>
                <w:sz w:val="20"/>
                <w:szCs w:val="20"/>
                <w:lang w:val="en-US" w:eastAsia="zh-CN"/>
              </w:rPr>
            </w:pPr>
            <w:r>
              <w:rPr>
                <w:rFonts w:hint="eastAsia" w:ascii="楷体" w:hAnsi="楷体" w:eastAsia="楷体" w:cs="楷体"/>
                <w:b/>
                <w:bCs/>
                <w:spacing w:val="5"/>
                <w:sz w:val="20"/>
                <w:szCs w:val="20"/>
                <w:lang w:val="en-US" w:eastAsia="zh-CN"/>
              </w:rPr>
              <w:t>面积</w:t>
            </w:r>
          </w:p>
        </w:tc>
        <w:tc>
          <w:tcPr>
            <w:tcW w:w="870" w:type="dxa"/>
            <w:vAlign w:val="top"/>
          </w:tcPr>
          <w:p w14:paraId="351CF226">
            <w:pPr>
              <w:pageBreakBefore w:val="0"/>
              <w:widowControl/>
              <w:kinsoku/>
              <w:wordWrap/>
              <w:overflowPunct/>
              <w:topLinePunct w:val="0"/>
              <w:autoSpaceDE w:val="0"/>
              <w:autoSpaceDN w:val="0"/>
              <w:bidi w:val="0"/>
              <w:adjustRightInd w:val="0"/>
              <w:snapToGrid w:val="0"/>
              <w:spacing w:before="273" w:line="238" w:lineRule="auto"/>
              <w:jc w:val="center"/>
              <w:textAlignment w:val="baseline"/>
              <w:rPr>
                <w:rFonts w:hint="default" w:ascii="楷体" w:hAnsi="楷体" w:eastAsia="楷体" w:cs="楷体"/>
                <w:b/>
                <w:bCs/>
                <w:spacing w:val="5"/>
                <w:sz w:val="20"/>
                <w:szCs w:val="20"/>
                <w:lang w:val="en-US" w:eastAsia="zh-CN"/>
              </w:rPr>
            </w:pPr>
            <w:r>
              <w:rPr>
                <w:rFonts w:hint="eastAsia" w:ascii="楷体" w:hAnsi="楷体" w:eastAsia="楷体" w:cs="楷体"/>
                <w:b/>
                <w:bCs/>
                <w:spacing w:val="5"/>
                <w:sz w:val="20"/>
                <w:szCs w:val="20"/>
                <w:lang w:val="en-US" w:eastAsia="zh-CN"/>
              </w:rPr>
              <w:t>地点</w:t>
            </w:r>
          </w:p>
        </w:tc>
        <w:tc>
          <w:tcPr>
            <w:tcW w:w="2411" w:type="dxa"/>
            <w:vAlign w:val="top"/>
          </w:tcPr>
          <w:p w14:paraId="3A6A8D04">
            <w:pPr>
              <w:pageBreakBefore w:val="0"/>
              <w:widowControl/>
              <w:kinsoku/>
              <w:wordWrap/>
              <w:overflowPunct/>
              <w:topLinePunct w:val="0"/>
              <w:autoSpaceDE w:val="0"/>
              <w:autoSpaceDN w:val="0"/>
              <w:bidi w:val="0"/>
              <w:adjustRightInd w:val="0"/>
              <w:snapToGrid w:val="0"/>
              <w:spacing w:before="274" w:line="235" w:lineRule="auto"/>
              <w:jc w:val="center"/>
              <w:textAlignment w:val="baseline"/>
              <w:rPr>
                <w:rFonts w:ascii="楷体" w:hAnsi="楷体" w:eastAsia="楷体" w:cs="楷体"/>
                <w:b/>
                <w:bCs/>
                <w:spacing w:val="6"/>
                <w:sz w:val="20"/>
                <w:szCs w:val="20"/>
              </w:rPr>
            </w:pPr>
            <w:r>
              <w:rPr>
                <w:rFonts w:ascii="楷体" w:hAnsi="楷体" w:eastAsia="楷体" w:cs="楷体"/>
                <w:b/>
                <w:bCs/>
                <w:spacing w:val="6"/>
                <w:sz w:val="20"/>
                <w:szCs w:val="20"/>
              </w:rPr>
              <w:t>主要设备配置</w:t>
            </w:r>
          </w:p>
        </w:tc>
      </w:tr>
      <w:tr w14:paraId="4423F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8" w:hRule="atLeast"/>
        </w:trPr>
        <w:tc>
          <w:tcPr>
            <w:tcW w:w="585" w:type="dxa"/>
            <w:vAlign w:val="center"/>
          </w:tcPr>
          <w:p w14:paraId="39140FEE">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1</w:t>
            </w:r>
          </w:p>
        </w:tc>
        <w:tc>
          <w:tcPr>
            <w:tcW w:w="1615" w:type="dxa"/>
            <w:vAlign w:val="center"/>
          </w:tcPr>
          <w:p w14:paraId="40916A53">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人体解剖学实验室</w:t>
            </w:r>
          </w:p>
        </w:tc>
        <w:tc>
          <w:tcPr>
            <w:tcW w:w="1587" w:type="dxa"/>
            <w:vAlign w:val="center"/>
          </w:tcPr>
          <w:p w14:paraId="61A6B6E5">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人体解剖生理学</w:t>
            </w:r>
          </w:p>
        </w:tc>
        <w:tc>
          <w:tcPr>
            <w:tcW w:w="1701" w:type="dxa"/>
            <w:vAlign w:val="center"/>
          </w:tcPr>
          <w:p w14:paraId="6A489F17">
            <w:pPr>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各系统大体结构特点的观察</w:t>
            </w:r>
          </w:p>
        </w:tc>
        <w:tc>
          <w:tcPr>
            <w:tcW w:w="722" w:type="dxa"/>
            <w:vAlign w:val="center"/>
          </w:tcPr>
          <w:p w14:paraId="3085E29B">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b w:val="0"/>
                <w:bCs/>
              </w:rPr>
            </w:pPr>
            <w:r>
              <w:rPr>
                <w:rFonts w:hint="eastAsia" w:ascii="楷体" w:hAnsi="楷体" w:eastAsia="楷体" w:cs="楷体"/>
                <w:b w:val="0"/>
                <w:bCs/>
                <w:color w:val="auto"/>
                <w:sz w:val="20"/>
                <w:szCs w:val="20"/>
                <w:lang w:val="en-US" w:eastAsia="zh-CN"/>
              </w:rPr>
              <w:t>100</w:t>
            </w:r>
          </w:p>
        </w:tc>
        <w:tc>
          <w:tcPr>
            <w:tcW w:w="870" w:type="dxa"/>
            <w:vAlign w:val="center"/>
          </w:tcPr>
          <w:p w14:paraId="3C101CB3">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lang w:val="en-US" w:eastAsia="zh-CN"/>
              </w:rPr>
              <w:t>101</w:t>
            </w:r>
          </w:p>
        </w:tc>
        <w:tc>
          <w:tcPr>
            <w:tcW w:w="2411" w:type="dxa"/>
            <w:vAlign w:val="center"/>
          </w:tcPr>
          <w:p w14:paraId="50FD8209">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b w:val="0"/>
                <w:bCs/>
              </w:rPr>
            </w:pPr>
            <w:r>
              <w:rPr>
                <w:rFonts w:hint="eastAsia" w:ascii="楷体" w:hAnsi="楷体" w:eastAsia="楷体" w:cs="楷体"/>
                <w:b w:val="0"/>
                <w:bCs/>
                <w:color w:val="auto"/>
                <w:sz w:val="20"/>
                <w:szCs w:val="20"/>
              </w:rPr>
              <w:t>多点触控解剖台、数字人系统、显微镜、人体各组织切片、各系统及胚胎学的标本、挂图、模型与视频</w:t>
            </w:r>
          </w:p>
        </w:tc>
      </w:tr>
      <w:tr w14:paraId="512F1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585" w:type="dxa"/>
            <w:vAlign w:val="center"/>
          </w:tcPr>
          <w:p w14:paraId="06FCBBB0">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2</w:t>
            </w:r>
          </w:p>
        </w:tc>
        <w:tc>
          <w:tcPr>
            <w:tcW w:w="1615" w:type="dxa"/>
            <w:vAlign w:val="center"/>
          </w:tcPr>
          <w:p w14:paraId="43F59C36">
            <w:pPr>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kern w:val="0"/>
                <w:sz w:val="20"/>
                <w:szCs w:val="20"/>
                <w:lang w:bidi="ar"/>
              </w:rPr>
              <w:t>生理学实验室</w:t>
            </w:r>
          </w:p>
          <w:p w14:paraId="1DF2ADE4">
            <w:pPr>
              <w:pageBreakBefore w:val="0"/>
              <w:widowControl/>
              <w:kinsoku/>
              <w:wordWrap/>
              <w:overflowPunct/>
              <w:topLinePunct w:val="0"/>
              <w:autoSpaceDE w:val="0"/>
              <w:autoSpaceDN w:val="0"/>
              <w:bidi w:val="0"/>
              <w:adjustRightInd w:val="0"/>
              <w:snapToGrid w:val="0"/>
              <w:jc w:val="center"/>
              <w:textAlignment w:val="baseline"/>
              <w:rPr>
                <w:b w:val="0"/>
                <w:bCs/>
              </w:rPr>
            </w:pPr>
          </w:p>
        </w:tc>
        <w:tc>
          <w:tcPr>
            <w:tcW w:w="1587" w:type="dxa"/>
            <w:vAlign w:val="center"/>
          </w:tcPr>
          <w:p w14:paraId="62F23D36">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人体解剖生理学</w:t>
            </w:r>
          </w:p>
        </w:tc>
        <w:tc>
          <w:tcPr>
            <w:tcW w:w="1701" w:type="dxa"/>
            <w:vAlign w:val="center"/>
          </w:tcPr>
          <w:p w14:paraId="748AACDB">
            <w:pPr>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rPr>
              <w:t>血型鉴定、血压测量与心音听诊、呼吸功能检查、视觉与听觉功能及腱反射检查反射弧与反射时的测定、血液凝固影响因素、离体蛙心灌流、哺乳动物血压调节、呼吸运动调节、胃肠运动观</w:t>
            </w:r>
            <w:r>
              <w:rPr>
                <w:rFonts w:hint="eastAsia" w:ascii="楷体" w:hAnsi="楷体" w:eastAsia="楷体" w:cs="楷体"/>
                <w:b w:val="0"/>
                <w:bCs/>
                <w:color w:val="auto"/>
                <w:kern w:val="0"/>
                <w:sz w:val="20"/>
                <w:szCs w:val="20"/>
                <w:lang w:bidi="ar"/>
              </w:rPr>
              <w:t>察、尿生成的影响因素、小脑损伤观察、去大脑僵直等</w:t>
            </w:r>
          </w:p>
        </w:tc>
        <w:tc>
          <w:tcPr>
            <w:tcW w:w="722" w:type="dxa"/>
            <w:vAlign w:val="center"/>
          </w:tcPr>
          <w:p w14:paraId="65B3706B">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rPr>
                <w:b w:val="0"/>
                <w:bCs/>
              </w:rPr>
            </w:pPr>
            <w:r>
              <w:rPr>
                <w:rFonts w:hint="eastAsia" w:ascii="楷体" w:hAnsi="楷体" w:eastAsia="楷体" w:cs="楷体"/>
                <w:b w:val="0"/>
                <w:bCs/>
                <w:color w:val="auto"/>
                <w:sz w:val="20"/>
                <w:szCs w:val="20"/>
                <w:lang w:val="en-US" w:eastAsia="zh-CN"/>
              </w:rPr>
              <w:t>100</w:t>
            </w:r>
          </w:p>
        </w:tc>
        <w:tc>
          <w:tcPr>
            <w:tcW w:w="870" w:type="dxa"/>
            <w:vAlign w:val="center"/>
          </w:tcPr>
          <w:p w14:paraId="2C85557A">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lang w:val="en-US" w:eastAsia="zh-CN"/>
              </w:rPr>
              <w:t>408</w:t>
            </w:r>
          </w:p>
        </w:tc>
        <w:tc>
          <w:tcPr>
            <w:tcW w:w="2411" w:type="dxa"/>
            <w:vAlign w:val="center"/>
          </w:tcPr>
          <w:p w14:paraId="0C4D6B52">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ABO及Rh标准血清、采血设备、血压计、听诊器</w:t>
            </w:r>
          </w:p>
          <w:p w14:paraId="47DA1651">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肺通气功能检查设备、视力表、视野计、色盲图、音叉及叩诊锤等</w:t>
            </w:r>
          </w:p>
          <w:p w14:paraId="545F1208">
            <w:pPr>
              <w:keepNext w:val="0"/>
              <w:keepLines w:val="0"/>
              <w:pageBreakBefore w:val="0"/>
              <w:widowControl/>
              <w:kinsoku/>
              <w:wordWrap/>
              <w:overflowPunct/>
              <w:topLinePunct w:val="0"/>
              <w:autoSpaceDE w:val="0"/>
              <w:autoSpaceDN w:val="0"/>
              <w:bidi w:val="0"/>
              <w:adjustRightInd w:val="0"/>
              <w:snapToGrid w:val="0"/>
              <w:spacing w:line="280" w:lineRule="exact"/>
              <w:jc w:val="center"/>
              <w:textAlignment w:val="baseline"/>
              <w:rPr>
                <w:b w:val="0"/>
                <w:bCs/>
              </w:rPr>
            </w:pPr>
            <w:r>
              <w:rPr>
                <w:rFonts w:hint="eastAsia" w:ascii="楷体" w:hAnsi="楷体" w:eastAsia="楷体" w:cs="楷体"/>
                <w:b w:val="0"/>
                <w:bCs/>
                <w:color w:val="auto"/>
                <w:sz w:val="20"/>
                <w:szCs w:val="20"/>
              </w:rPr>
              <w:t>生物机能实验系统</w:t>
            </w:r>
          </w:p>
        </w:tc>
      </w:tr>
      <w:tr w14:paraId="403FB4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585" w:type="dxa"/>
            <w:vAlign w:val="center"/>
          </w:tcPr>
          <w:p w14:paraId="5F3A7014">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3</w:t>
            </w:r>
          </w:p>
        </w:tc>
        <w:tc>
          <w:tcPr>
            <w:tcW w:w="1615" w:type="dxa"/>
            <w:vAlign w:val="center"/>
          </w:tcPr>
          <w:p w14:paraId="471EBA3E">
            <w:pPr>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kern w:val="0"/>
                <w:sz w:val="20"/>
                <w:szCs w:val="20"/>
                <w:lang w:bidi="ar"/>
              </w:rPr>
              <w:t>病理学与病理</w:t>
            </w:r>
          </w:p>
          <w:p w14:paraId="79ACBDF3">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kern w:val="0"/>
                <w:sz w:val="20"/>
                <w:szCs w:val="20"/>
                <w:lang w:bidi="ar"/>
              </w:rPr>
              <w:t>生理学实验室</w:t>
            </w:r>
          </w:p>
        </w:tc>
        <w:tc>
          <w:tcPr>
            <w:tcW w:w="1587" w:type="dxa"/>
            <w:vAlign w:val="center"/>
          </w:tcPr>
          <w:p w14:paraId="484348B4">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病理学与病理生理学</w:t>
            </w:r>
          </w:p>
        </w:tc>
        <w:tc>
          <w:tcPr>
            <w:tcW w:w="1701" w:type="dxa"/>
            <w:vAlign w:val="center"/>
          </w:tcPr>
          <w:p w14:paraId="543FB54C">
            <w:pPr>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组织细胞的适应、损伤与修复、局部血液循环障碍、炎症和常见肿瘤、各系统常见疾病及常见传染病的大体标本及组织病理切片观察</w:t>
            </w:r>
          </w:p>
        </w:tc>
        <w:tc>
          <w:tcPr>
            <w:tcW w:w="722" w:type="dxa"/>
            <w:vAlign w:val="top"/>
          </w:tcPr>
          <w:p w14:paraId="43E0340C">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楷体" w:hAnsi="楷体" w:eastAsia="楷体" w:cs="楷体"/>
                <w:b w:val="0"/>
                <w:bCs/>
                <w:color w:val="auto"/>
                <w:sz w:val="20"/>
                <w:szCs w:val="20"/>
                <w:lang w:val="en-US" w:eastAsia="zh-CN"/>
              </w:rPr>
            </w:pPr>
          </w:p>
          <w:p w14:paraId="5EF45F9C">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楷体" w:hAnsi="楷体" w:eastAsia="楷体" w:cs="楷体"/>
                <w:b w:val="0"/>
                <w:bCs/>
                <w:color w:val="auto"/>
                <w:sz w:val="20"/>
                <w:szCs w:val="20"/>
                <w:lang w:val="en-US" w:eastAsia="zh-CN"/>
              </w:rPr>
            </w:pPr>
          </w:p>
          <w:p w14:paraId="71E5DEBB">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lang w:val="en-US" w:eastAsia="zh-CN"/>
              </w:rPr>
              <w:t>100</w:t>
            </w:r>
          </w:p>
        </w:tc>
        <w:tc>
          <w:tcPr>
            <w:tcW w:w="870" w:type="dxa"/>
            <w:vAlign w:val="center"/>
          </w:tcPr>
          <w:p w14:paraId="104AED2E">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lang w:val="en-US" w:eastAsia="zh-CN"/>
              </w:rPr>
              <w:t>305</w:t>
            </w:r>
          </w:p>
        </w:tc>
        <w:tc>
          <w:tcPr>
            <w:tcW w:w="2411" w:type="dxa"/>
            <w:vAlign w:val="top"/>
          </w:tcPr>
          <w:p w14:paraId="1DC67FDE">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rPr>
              <w:t>显微镜，组织细胞的适应、损伤与修复、局部血液循环障碍、炎症和常见肿瘤、各系统常见疾病及常见传染病的大体标本、组织病理切片及挂图</w:t>
            </w:r>
          </w:p>
        </w:tc>
      </w:tr>
      <w:tr w14:paraId="53A1F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585" w:type="dxa"/>
            <w:vAlign w:val="center"/>
          </w:tcPr>
          <w:p w14:paraId="46C8756E">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4</w:t>
            </w:r>
          </w:p>
        </w:tc>
        <w:tc>
          <w:tcPr>
            <w:tcW w:w="1615" w:type="dxa"/>
            <w:vAlign w:val="center"/>
          </w:tcPr>
          <w:p w14:paraId="04D89A7C">
            <w:pPr>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kern w:val="0"/>
                <w:sz w:val="20"/>
                <w:szCs w:val="20"/>
                <w:lang w:bidi="ar"/>
              </w:rPr>
            </w:pPr>
            <w:r>
              <w:rPr>
                <w:rFonts w:hint="eastAsia" w:ascii="楷体" w:hAnsi="楷体" w:eastAsia="楷体" w:cs="楷体"/>
                <w:b w:val="0"/>
                <w:bCs/>
                <w:color w:val="auto"/>
                <w:kern w:val="0"/>
                <w:sz w:val="20"/>
                <w:szCs w:val="20"/>
                <w:lang w:bidi="ar"/>
              </w:rPr>
              <w:t>生物化学</w:t>
            </w:r>
          </w:p>
          <w:p w14:paraId="2E1591B1">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kern w:val="0"/>
                <w:sz w:val="20"/>
                <w:szCs w:val="20"/>
                <w:lang w:bidi="ar"/>
              </w:rPr>
              <w:t>实验室</w:t>
            </w:r>
          </w:p>
        </w:tc>
        <w:tc>
          <w:tcPr>
            <w:tcW w:w="1587" w:type="dxa"/>
            <w:vAlign w:val="center"/>
          </w:tcPr>
          <w:p w14:paraId="0489F448">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生物化学</w:t>
            </w:r>
          </w:p>
        </w:tc>
        <w:tc>
          <w:tcPr>
            <w:tcW w:w="1701" w:type="dxa"/>
            <w:vAlign w:val="center"/>
          </w:tcPr>
          <w:p w14:paraId="0892C09B">
            <w:pPr>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蛋白质的理化性质、酶的专一性、影响酶促反应速度的因素、维生素的测定、糖类的还原作用、动物肝脏 DNA 的提取等</w:t>
            </w:r>
          </w:p>
        </w:tc>
        <w:tc>
          <w:tcPr>
            <w:tcW w:w="722" w:type="dxa"/>
            <w:vAlign w:val="top"/>
          </w:tcPr>
          <w:p w14:paraId="75D9CA07">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楷体" w:hAnsi="楷体" w:eastAsia="楷体" w:cs="楷体"/>
                <w:b w:val="0"/>
                <w:bCs/>
                <w:color w:val="auto"/>
                <w:sz w:val="20"/>
                <w:szCs w:val="20"/>
                <w:lang w:val="en-US" w:eastAsia="zh-CN"/>
              </w:rPr>
            </w:pPr>
          </w:p>
          <w:p w14:paraId="54E90762">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楷体" w:hAnsi="楷体" w:eastAsia="楷体" w:cs="楷体"/>
                <w:b w:val="0"/>
                <w:bCs/>
                <w:color w:val="auto"/>
                <w:sz w:val="20"/>
                <w:szCs w:val="20"/>
                <w:lang w:val="en-US" w:eastAsia="zh-CN"/>
              </w:rPr>
            </w:pPr>
          </w:p>
          <w:p w14:paraId="59713834">
            <w:pPr>
              <w:keepNext w:val="0"/>
              <w:keepLines w:val="0"/>
              <w:pageBreakBefore w:val="0"/>
              <w:widowControl/>
              <w:kinsoku/>
              <w:wordWrap/>
              <w:overflowPunct/>
              <w:topLinePunct w:val="0"/>
              <w:autoSpaceDE w:val="0"/>
              <w:autoSpaceDN w:val="0"/>
              <w:bidi w:val="0"/>
              <w:adjustRightInd w:val="0"/>
              <w:snapToGrid w:val="0"/>
              <w:spacing w:line="300" w:lineRule="exact"/>
              <w:ind w:firstLine="200" w:firstLineChars="100"/>
              <w:jc w:val="both"/>
              <w:textAlignment w:val="baseline"/>
              <w:rPr>
                <w:rFonts w:hint="eastAsia" w:ascii="楷体" w:hAnsi="楷体" w:eastAsia="楷体" w:cs="楷体"/>
                <w:b w:val="0"/>
                <w:bCs/>
                <w:color w:val="auto"/>
                <w:sz w:val="20"/>
                <w:szCs w:val="20"/>
                <w:lang w:val="en-US" w:eastAsia="zh-CN"/>
              </w:rPr>
            </w:pPr>
          </w:p>
          <w:p w14:paraId="54036F00">
            <w:pPr>
              <w:keepNext w:val="0"/>
              <w:keepLines w:val="0"/>
              <w:pageBreakBefore w:val="0"/>
              <w:widowControl/>
              <w:kinsoku/>
              <w:wordWrap/>
              <w:overflowPunct/>
              <w:topLinePunct w:val="0"/>
              <w:autoSpaceDE w:val="0"/>
              <w:autoSpaceDN w:val="0"/>
              <w:bidi w:val="0"/>
              <w:adjustRightInd w:val="0"/>
              <w:snapToGrid w:val="0"/>
              <w:spacing w:line="300" w:lineRule="exact"/>
              <w:ind w:firstLine="200" w:firstLineChars="100"/>
              <w:jc w:val="both"/>
              <w:textAlignment w:val="baseline"/>
              <w:rPr>
                <w:b w:val="0"/>
                <w:bCs/>
              </w:rPr>
            </w:pPr>
            <w:r>
              <w:rPr>
                <w:rFonts w:hint="eastAsia" w:ascii="楷体" w:hAnsi="楷体" w:eastAsia="楷体" w:cs="楷体"/>
                <w:b w:val="0"/>
                <w:bCs/>
                <w:color w:val="auto"/>
                <w:sz w:val="20"/>
                <w:szCs w:val="20"/>
                <w:lang w:val="en-US" w:eastAsia="zh-CN"/>
              </w:rPr>
              <w:t>160</w:t>
            </w:r>
          </w:p>
        </w:tc>
        <w:tc>
          <w:tcPr>
            <w:tcW w:w="870" w:type="dxa"/>
            <w:vAlign w:val="center"/>
          </w:tcPr>
          <w:p w14:paraId="48B0E639">
            <w:pPr>
              <w:keepNext w:val="0"/>
              <w:keepLines w:val="0"/>
              <w:pageBreakBefore w:val="0"/>
              <w:widowControl/>
              <w:kinsoku/>
              <w:wordWrap/>
              <w:overflowPunct/>
              <w:topLinePunct w:val="0"/>
              <w:autoSpaceDE w:val="0"/>
              <w:autoSpaceDN w:val="0"/>
              <w:bidi w:val="0"/>
              <w:adjustRightInd w:val="0"/>
              <w:snapToGrid w:val="0"/>
              <w:spacing w:line="300" w:lineRule="exact"/>
              <w:ind w:firstLine="100" w:firstLineChars="50"/>
              <w:jc w:val="center"/>
              <w:textAlignment w:val="baseline"/>
              <w:rPr>
                <w:b w:val="0"/>
                <w:bCs/>
              </w:rPr>
            </w:pPr>
            <w:r>
              <w:rPr>
                <w:rFonts w:hint="eastAsia" w:ascii="楷体" w:hAnsi="楷体" w:eastAsia="楷体" w:cs="楷体"/>
                <w:b w:val="0"/>
                <w:bCs/>
                <w:color w:val="auto"/>
                <w:sz w:val="20"/>
                <w:szCs w:val="20"/>
                <w:lang w:val="en-US" w:eastAsia="zh-CN"/>
              </w:rPr>
              <w:t>106</w:t>
            </w:r>
          </w:p>
        </w:tc>
        <w:tc>
          <w:tcPr>
            <w:tcW w:w="2411" w:type="dxa"/>
            <w:vAlign w:val="top"/>
          </w:tcPr>
          <w:p w14:paraId="34D206FE">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rPr>
              <w:t>显微镜、空气消毒器、恒温培养箱、干燥箱、生物冷藏柜、立式高压锅、生物安全柜、离心机等</w:t>
            </w:r>
          </w:p>
        </w:tc>
      </w:tr>
      <w:tr w14:paraId="4A1A2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585" w:type="dxa"/>
            <w:vAlign w:val="center"/>
          </w:tcPr>
          <w:p w14:paraId="0AFD8C72">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5</w:t>
            </w:r>
          </w:p>
        </w:tc>
        <w:tc>
          <w:tcPr>
            <w:tcW w:w="1615" w:type="dxa"/>
            <w:vAlign w:val="center"/>
          </w:tcPr>
          <w:p w14:paraId="0146D20E">
            <w:pPr>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kern w:val="0"/>
                <w:sz w:val="20"/>
                <w:szCs w:val="20"/>
                <w:lang w:bidi="ar"/>
              </w:rPr>
            </w:pPr>
            <w:r>
              <w:rPr>
                <w:rFonts w:hint="eastAsia" w:ascii="楷体" w:hAnsi="楷体" w:eastAsia="楷体" w:cs="楷体"/>
                <w:b w:val="0"/>
                <w:bCs/>
                <w:color w:val="auto"/>
                <w:kern w:val="0"/>
                <w:sz w:val="20"/>
                <w:szCs w:val="20"/>
                <w:lang w:bidi="ar"/>
              </w:rPr>
              <w:t>病原生物与</w:t>
            </w:r>
          </w:p>
          <w:p w14:paraId="07AB48C7">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kern w:val="0"/>
                <w:sz w:val="20"/>
                <w:szCs w:val="20"/>
                <w:lang w:bidi="ar"/>
              </w:rPr>
              <w:t>免疫学实验室</w:t>
            </w:r>
          </w:p>
        </w:tc>
        <w:tc>
          <w:tcPr>
            <w:tcW w:w="1587" w:type="dxa"/>
            <w:vAlign w:val="center"/>
          </w:tcPr>
          <w:p w14:paraId="232B4483">
            <w:pPr>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病原生物与</w:t>
            </w:r>
          </w:p>
          <w:p w14:paraId="2E5FFCB1">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免疫学</w:t>
            </w:r>
          </w:p>
        </w:tc>
        <w:tc>
          <w:tcPr>
            <w:tcW w:w="1701" w:type="dxa"/>
            <w:vAlign w:val="center"/>
          </w:tcPr>
          <w:p w14:paraId="16A2F2C8">
            <w:pPr>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革兰染色法、细菌的基本形态、特殊结构观察、细菌接种及培养、类风湿因子检测、双向琼脂扩散实验、E</w:t>
            </w:r>
            <w:r>
              <w:rPr>
                <w:rFonts w:hint="eastAsia" w:ascii="楷体" w:hAnsi="楷体" w:eastAsia="楷体" w:cs="楷体"/>
                <w:b w:val="0"/>
                <w:bCs/>
                <w:color w:val="auto"/>
                <w:sz w:val="20"/>
                <w:szCs w:val="20"/>
                <w:lang w:eastAsia="zh-CN"/>
              </w:rPr>
              <w:t>－</w:t>
            </w:r>
            <w:r>
              <w:rPr>
                <w:rFonts w:hint="eastAsia" w:ascii="楷体" w:hAnsi="楷体" w:eastAsia="楷体" w:cs="楷体"/>
                <w:b w:val="0"/>
                <w:bCs/>
                <w:color w:val="auto"/>
                <w:sz w:val="20"/>
                <w:szCs w:val="20"/>
              </w:rPr>
              <w:t>花环、淋巴细胞转化试验结果观察、寄生虫及虫卵形态学观察等</w:t>
            </w:r>
          </w:p>
        </w:tc>
        <w:tc>
          <w:tcPr>
            <w:tcW w:w="722" w:type="dxa"/>
            <w:vAlign w:val="top"/>
          </w:tcPr>
          <w:p w14:paraId="379602C0">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楷体" w:hAnsi="楷体" w:eastAsia="楷体" w:cs="楷体"/>
                <w:b w:val="0"/>
                <w:bCs/>
                <w:color w:val="auto"/>
                <w:sz w:val="20"/>
                <w:szCs w:val="20"/>
                <w:lang w:val="en-US" w:eastAsia="zh-CN"/>
              </w:rPr>
            </w:pPr>
          </w:p>
          <w:p w14:paraId="12709BE2">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楷体" w:hAnsi="楷体" w:eastAsia="楷体" w:cs="楷体"/>
                <w:b w:val="0"/>
                <w:bCs/>
                <w:color w:val="auto"/>
                <w:sz w:val="20"/>
                <w:szCs w:val="20"/>
                <w:lang w:val="en-US" w:eastAsia="zh-CN"/>
              </w:rPr>
            </w:pPr>
          </w:p>
          <w:p w14:paraId="6B874188">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lang w:val="en-US" w:eastAsia="zh-CN"/>
              </w:rPr>
              <w:t>130</w:t>
            </w:r>
          </w:p>
        </w:tc>
        <w:tc>
          <w:tcPr>
            <w:tcW w:w="870" w:type="dxa"/>
            <w:vAlign w:val="center"/>
          </w:tcPr>
          <w:p w14:paraId="0B133768">
            <w:pPr>
              <w:keepNext w:val="0"/>
              <w:keepLines w:val="0"/>
              <w:pageBreakBefore w:val="0"/>
              <w:widowControl/>
              <w:kinsoku/>
              <w:wordWrap/>
              <w:overflowPunct/>
              <w:topLinePunct w:val="0"/>
              <w:autoSpaceDE w:val="0"/>
              <w:autoSpaceDN w:val="0"/>
              <w:bidi w:val="0"/>
              <w:adjustRightInd w:val="0"/>
              <w:snapToGrid w:val="0"/>
              <w:spacing w:line="300" w:lineRule="exact"/>
              <w:ind w:firstLine="100" w:firstLineChars="50"/>
              <w:jc w:val="center"/>
              <w:textAlignment w:val="baseline"/>
              <w:rPr>
                <w:b w:val="0"/>
                <w:bCs/>
              </w:rPr>
            </w:pPr>
            <w:r>
              <w:rPr>
                <w:rFonts w:hint="eastAsia" w:ascii="楷体" w:hAnsi="楷体" w:eastAsia="楷体" w:cs="楷体"/>
                <w:b w:val="0"/>
                <w:bCs/>
                <w:color w:val="auto"/>
                <w:sz w:val="20"/>
                <w:szCs w:val="20"/>
                <w:lang w:val="en-US" w:eastAsia="zh-CN"/>
              </w:rPr>
              <w:t>109</w:t>
            </w:r>
          </w:p>
        </w:tc>
        <w:tc>
          <w:tcPr>
            <w:tcW w:w="2411" w:type="dxa"/>
            <w:vAlign w:val="top"/>
          </w:tcPr>
          <w:p w14:paraId="5D844612">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rPr>
              <w:t>紫外-可见分光光度计、半自动生化分析仪、电泳仪及电泳槽、恒温水浴箱、干燥箱、离心机、电子天平、旋光仪、冰箱等</w:t>
            </w:r>
          </w:p>
        </w:tc>
      </w:tr>
      <w:tr w14:paraId="2F1ECD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585" w:type="dxa"/>
            <w:vAlign w:val="center"/>
          </w:tcPr>
          <w:p w14:paraId="586CC1C1">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6</w:t>
            </w:r>
          </w:p>
        </w:tc>
        <w:tc>
          <w:tcPr>
            <w:tcW w:w="1615" w:type="dxa"/>
            <w:vAlign w:val="center"/>
          </w:tcPr>
          <w:p w14:paraId="136EFB6F">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模型制作室</w:t>
            </w:r>
          </w:p>
        </w:tc>
        <w:tc>
          <w:tcPr>
            <w:tcW w:w="1587" w:type="dxa"/>
            <w:vAlign w:val="center"/>
          </w:tcPr>
          <w:p w14:paraId="72C9B825">
            <w:pPr>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口腔修复学</w:t>
            </w:r>
          </w:p>
          <w:p w14:paraId="50230DF0">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口腔正畸学</w:t>
            </w:r>
          </w:p>
        </w:tc>
        <w:tc>
          <w:tcPr>
            <w:tcW w:w="1701" w:type="dxa"/>
            <w:vAlign w:val="center"/>
          </w:tcPr>
          <w:p w14:paraId="6542D283">
            <w:pPr>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rPr>
              <w:t>模型灌注及修整；上牙合架；装盒；充胶热处理；琼脂复模；口腔固定修复体熔模包埋；可摘义齿支架蜡型包埋；全口义齿蜡型包埋技术</w:t>
            </w:r>
          </w:p>
        </w:tc>
        <w:tc>
          <w:tcPr>
            <w:tcW w:w="722" w:type="dxa"/>
            <w:vAlign w:val="center"/>
          </w:tcPr>
          <w:p w14:paraId="03969EE8">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lang w:val="en-US" w:eastAsia="zh-CN"/>
              </w:rPr>
              <w:t>240</w:t>
            </w:r>
          </w:p>
        </w:tc>
        <w:tc>
          <w:tcPr>
            <w:tcW w:w="870" w:type="dxa"/>
            <w:vAlign w:val="center"/>
          </w:tcPr>
          <w:p w14:paraId="34173DA1">
            <w:pPr>
              <w:keepNext w:val="0"/>
              <w:keepLines w:val="0"/>
              <w:pageBreakBefore w:val="0"/>
              <w:widowControl/>
              <w:kinsoku/>
              <w:wordWrap/>
              <w:overflowPunct/>
              <w:topLinePunct w:val="0"/>
              <w:autoSpaceDE w:val="0"/>
              <w:autoSpaceDN w:val="0"/>
              <w:bidi w:val="0"/>
              <w:adjustRightInd w:val="0"/>
              <w:snapToGrid w:val="0"/>
              <w:spacing w:line="300" w:lineRule="exact"/>
              <w:ind w:firstLine="100" w:firstLineChars="50"/>
              <w:jc w:val="center"/>
              <w:textAlignment w:val="baseline"/>
              <w:rPr>
                <w:b w:val="0"/>
                <w:bCs/>
              </w:rPr>
            </w:pPr>
            <w:r>
              <w:rPr>
                <w:rFonts w:hint="eastAsia" w:ascii="楷体" w:hAnsi="楷体" w:eastAsia="楷体" w:cs="楷体"/>
                <w:b w:val="0"/>
                <w:bCs/>
                <w:color w:val="auto"/>
                <w:sz w:val="20"/>
                <w:szCs w:val="20"/>
                <w:lang w:val="en-US" w:eastAsia="zh-CN"/>
              </w:rPr>
              <w:t>7C-110、208</w:t>
            </w:r>
          </w:p>
        </w:tc>
        <w:tc>
          <w:tcPr>
            <w:tcW w:w="2411" w:type="dxa"/>
            <w:vAlign w:val="center"/>
          </w:tcPr>
          <w:p w14:paraId="78E1079F">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石膏过滤池、模型修整机、舌侧修整机、</w:t>
            </w:r>
          </w:p>
          <w:p w14:paraId="1FB82C95">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激光打孔机、型盒压榨机、电炉子、型盒容纳器、真空搅拌机、</w:t>
            </w:r>
          </w:p>
          <w:p w14:paraId="321C0E1A">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模型振荡器、植钉机、</w:t>
            </w:r>
          </w:p>
          <w:p w14:paraId="0B21BDC0">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rPr>
              <w:t>模型分割锯、微型打磨机、压榨器、水浴加热装置</w:t>
            </w:r>
          </w:p>
        </w:tc>
      </w:tr>
      <w:tr w14:paraId="105E7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585" w:type="dxa"/>
            <w:vAlign w:val="center"/>
          </w:tcPr>
          <w:p w14:paraId="76D227C3">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7</w:t>
            </w:r>
          </w:p>
        </w:tc>
        <w:tc>
          <w:tcPr>
            <w:tcW w:w="1615" w:type="dxa"/>
            <w:vAlign w:val="center"/>
          </w:tcPr>
          <w:p w14:paraId="2DF5CE70">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口腔数字化标准化技工室</w:t>
            </w:r>
          </w:p>
        </w:tc>
        <w:tc>
          <w:tcPr>
            <w:tcW w:w="1587" w:type="dxa"/>
            <w:vAlign w:val="center"/>
          </w:tcPr>
          <w:p w14:paraId="2764F376">
            <w:pPr>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口腔解剖生理学</w:t>
            </w:r>
          </w:p>
          <w:p w14:paraId="1B8C4239">
            <w:pPr>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可摘局部义齿修复工艺技术</w:t>
            </w:r>
          </w:p>
          <w:p w14:paraId="6361947B">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口腔固定修复工艺技术</w:t>
            </w:r>
          </w:p>
        </w:tc>
        <w:tc>
          <w:tcPr>
            <w:tcW w:w="1701" w:type="dxa"/>
            <w:vAlign w:val="top"/>
          </w:tcPr>
          <w:p w14:paraId="4B109EF6">
            <w:pPr>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石膏牙雕刻、蜡牙雕刻；树脂材料使用；嵌体、冠、核桩熔模的制作；临时冠桥制作；模型设计；锻丝卡环制作；人工牙排列；可摘局部义齿蜡型制作；蜡颌堤制作；全口义齿蜡型制作；活动矫治器制作</w:t>
            </w:r>
          </w:p>
        </w:tc>
        <w:tc>
          <w:tcPr>
            <w:tcW w:w="722" w:type="dxa"/>
            <w:vAlign w:val="center"/>
          </w:tcPr>
          <w:p w14:paraId="1E070CE5">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lang w:val="en-US" w:eastAsia="zh-CN"/>
              </w:rPr>
              <w:t>1200</w:t>
            </w:r>
          </w:p>
        </w:tc>
        <w:tc>
          <w:tcPr>
            <w:tcW w:w="870" w:type="dxa"/>
            <w:vAlign w:val="center"/>
          </w:tcPr>
          <w:p w14:paraId="63CB4BB0">
            <w:pPr>
              <w:keepNext w:val="0"/>
              <w:keepLines w:val="0"/>
              <w:pageBreakBefore w:val="0"/>
              <w:widowControl/>
              <w:kinsoku/>
              <w:wordWrap/>
              <w:overflowPunct/>
              <w:topLinePunct w:val="0"/>
              <w:autoSpaceDE w:val="0"/>
              <w:autoSpaceDN w:val="0"/>
              <w:bidi w:val="0"/>
              <w:adjustRightInd w:val="0"/>
              <w:snapToGrid w:val="0"/>
              <w:spacing w:line="300" w:lineRule="exact"/>
              <w:ind w:firstLine="100" w:firstLineChars="50"/>
              <w:jc w:val="center"/>
              <w:textAlignment w:val="baseline"/>
              <w:rPr>
                <w:b w:val="0"/>
                <w:bCs/>
              </w:rPr>
            </w:pPr>
            <w:r>
              <w:rPr>
                <w:rFonts w:hint="eastAsia" w:ascii="楷体" w:hAnsi="楷体" w:eastAsia="楷体" w:cs="楷体"/>
                <w:b w:val="0"/>
                <w:bCs/>
                <w:color w:val="auto"/>
                <w:sz w:val="20"/>
                <w:szCs w:val="20"/>
                <w:lang w:val="en-US" w:eastAsia="zh-CN"/>
              </w:rPr>
              <w:t>7C-101、102、103、201、203、301、302、306、209、313</w:t>
            </w:r>
          </w:p>
        </w:tc>
        <w:tc>
          <w:tcPr>
            <w:tcW w:w="2411" w:type="dxa"/>
            <w:vAlign w:val="center"/>
          </w:tcPr>
          <w:p w14:paraId="6D753807">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rPr>
              <w:t>标准化技工操作台、台式打磨机、牙体雕刻评价系统、多媒体示教系统、3倍大石膏牙雕刻序列模型</w:t>
            </w:r>
          </w:p>
        </w:tc>
      </w:tr>
      <w:tr w14:paraId="4167A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585" w:type="dxa"/>
            <w:vAlign w:val="center"/>
          </w:tcPr>
          <w:p w14:paraId="219AB320">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8</w:t>
            </w:r>
          </w:p>
        </w:tc>
        <w:tc>
          <w:tcPr>
            <w:tcW w:w="1615" w:type="dxa"/>
            <w:vAlign w:val="center"/>
          </w:tcPr>
          <w:p w14:paraId="3A531C41">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口腔金属铸造实训室</w:t>
            </w:r>
          </w:p>
        </w:tc>
        <w:tc>
          <w:tcPr>
            <w:tcW w:w="1587" w:type="dxa"/>
            <w:vAlign w:val="center"/>
          </w:tcPr>
          <w:p w14:paraId="4DF2DCDD">
            <w:pPr>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可摘局部义齿修复工艺技术</w:t>
            </w:r>
          </w:p>
          <w:p w14:paraId="1D67C836">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口腔固定修复工艺技术</w:t>
            </w:r>
          </w:p>
        </w:tc>
        <w:tc>
          <w:tcPr>
            <w:tcW w:w="1701" w:type="dxa"/>
            <w:vAlign w:val="top"/>
          </w:tcPr>
          <w:p w14:paraId="1AC1254B">
            <w:pPr>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rPr>
              <w:t>金属铸造冠制作；铸造桩核制作；牙合支托制作；可摘局部大支架制作；上颌腭板制作</w:t>
            </w:r>
          </w:p>
        </w:tc>
        <w:tc>
          <w:tcPr>
            <w:tcW w:w="722" w:type="dxa"/>
            <w:vAlign w:val="center"/>
          </w:tcPr>
          <w:p w14:paraId="4164E8A4">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lang w:val="en-US" w:eastAsia="zh-CN"/>
              </w:rPr>
              <w:t>480</w:t>
            </w:r>
          </w:p>
        </w:tc>
        <w:tc>
          <w:tcPr>
            <w:tcW w:w="870" w:type="dxa"/>
            <w:vAlign w:val="center"/>
          </w:tcPr>
          <w:p w14:paraId="399FB563">
            <w:pPr>
              <w:keepNext w:val="0"/>
              <w:keepLines w:val="0"/>
              <w:pageBreakBefore w:val="0"/>
              <w:widowControl/>
              <w:kinsoku/>
              <w:wordWrap/>
              <w:overflowPunct/>
              <w:topLinePunct w:val="0"/>
              <w:autoSpaceDE w:val="0"/>
              <w:autoSpaceDN w:val="0"/>
              <w:bidi w:val="0"/>
              <w:adjustRightInd w:val="0"/>
              <w:snapToGrid w:val="0"/>
              <w:spacing w:line="300" w:lineRule="exact"/>
              <w:ind w:firstLine="100" w:firstLineChars="50"/>
              <w:jc w:val="center"/>
              <w:textAlignment w:val="baseline"/>
              <w:rPr>
                <w:b w:val="0"/>
                <w:bCs/>
              </w:rPr>
            </w:pPr>
            <w:r>
              <w:rPr>
                <w:rFonts w:hint="eastAsia" w:ascii="楷体" w:hAnsi="楷体" w:eastAsia="楷体" w:cs="楷体"/>
                <w:b w:val="0"/>
                <w:bCs/>
                <w:color w:val="auto"/>
                <w:sz w:val="20"/>
                <w:szCs w:val="20"/>
                <w:lang w:val="en-US" w:eastAsia="zh-CN"/>
              </w:rPr>
              <w:t>7C-105、107、108、109</w:t>
            </w:r>
          </w:p>
        </w:tc>
        <w:tc>
          <w:tcPr>
            <w:tcW w:w="2411" w:type="dxa"/>
            <w:vAlign w:val="center"/>
          </w:tcPr>
          <w:p w14:paraId="374A215A">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仿头模、高速手机、</w:t>
            </w:r>
          </w:p>
          <w:p w14:paraId="1D9A19D4">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低速手机、标准模型、</w:t>
            </w:r>
          </w:p>
          <w:p w14:paraId="6CBA4E1A">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rPr>
              <w:t>拔牙模型、医师资格考试专用脓肿切开模型、医师资格考试专用牙体预备模型、医师资格考试专用拔牙模型</w:t>
            </w:r>
          </w:p>
        </w:tc>
      </w:tr>
      <w:tr w14:paraId="491E9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585" w:type="dxa"/>
            <w:vAlign w:val="center"/>
          </w:tcPr>
          <w:p w14:paraId="16CF0E55">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9</w:t>
            </w:r>
          </w:p>
        </w:tc>
        <w:tc>
          <w:tcPr>
            <w:tcW w:w="1615" w:type="dxa"/>
            <w:vAlign w:val="center"/>
          </w:tcPr>
          <w:p w14:paraId="2E03A693">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口腔烤瓷铸造实训室</w:t>
            </w:r>
          </w:p>
        </w:tc>
        <w:tc>
          <w:tcPr>
            <w:tcW w:w="1587" w:type="dxa"/>
            <w:vAlign w:val="center"/>
          </w:tcPr>
          <w:p w14:paraId="10E3B758">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口腔固定修复工艺技术</w:t>
            </w:r>
          </w:p>
        </w:tc>
        <w:tc>
          <w:tcPr>
            <w:tcW w:w="1701" w:type="dxa"/>
            <w:vAlign w:val="center"/>
          </w:tcPr>
          <w:p w14:paraId="4E9413C9">
            <w:pPr>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rPr>
              <w:t>PFM单冠制作；双端固定桥制作；桩核冠制作；瓷体堆塑；上瓷上釉</w:t>
            </w:r>
          </w:p>
        </w:tc>
        <w:tc>
          <w:tcPr>
            <w:tcW w:w="722" w:type="dxa"/>
            <w:vAlign w:val="center"/>
          </w:tcPr>
          <w:p w14:paraId="00AFD212">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lang w:val="en-US" w:eastAsia="zh-CN"/>
              </w:rPr>
              <w:t>100</w:t>
            </w:r>
          </w:p>
        </w:tc>
        <w:tc>
          <w:tcPr>
            <w:tcW w:w="870" w:type="dxa"/>
            <w:vAlign w:val="center"/>
          </w:tcPr>
          <w:p w14:paraId="4DE469C1">
            <w:pPr>
              <w:keepNext w:val="0"/>
              <w:keepLines w:val="0"/>
              <w:pageBreakBefore w:val="0"/>
              <w:widowControl/>
              <w:kinsoku/>
              <w:wordWrap/>
              <w:overflowPunct/>
              <w:topLinePunct w:val="0"/>
              <w:autoSpaceDE w:val="0"/>
              <w:autoSpaceDN w:val="0"/>
              <w:bidi w:val="0"/>
              <w:adjustRightInd w:val="0"/>
              <w:snapToGrid w:val="0"/>
              <w:spacing w:line="300" w:lineRule="exact"/>
              <w:ind w:firstLine="100" w:firstLineChars="50"/>
              <w:jc w:val="center"/>
              <w:textAlignment w:val="baseline"/>
              <w:rPr>
                <w:b w:val="0"/>
                <w:bCs/>
              </w:rPr>
            </w:pPr>
            <w:r>
              <w:rPr>
                <w:rFonts w:hint="eastAsia" w:ascii="楷体" w:hAnsi="楷体" w:eastAsia="楷体" w:cs="楷体"/>
                <w:b w:val="0"/>
                <w:bCs/>
                <w:color w:val="auto"/>
                <w:sz w:val="20"/>
                <w:szCs w:val="20"/>
                <w:lang w:val="en-US" w:eastAsia="zh-CN"/>
              </w:rPr>
              <w:t>7C-204</w:t>
            </w:r>
          </w:p>
        </w:tc>
        <w:tc>
          <w:tcPr>
            <w:tcW w:w="2411" w:type="dxa"/>
            <w:vAlign w:val="center"/>
          </w:tcPr>
          <w:p w14:paraId="4725E085">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高频离心铸造机、茂福炉、铸圈及成型座、</w:t>
            </w:r>
          </w:p>
          <w:p w14:paraId="53A78FB5">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振荡器、金属切割机、</w:t>
            </w:r>
          </w:p>
          <w:p w14:paraId="310D729F">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rPr>
              <w:t>喷砂打磨机</w:t>
            </w:r>
          </w:p>
        </w:tc>
      </w:tr>
      <w:tr w14:paraId="78820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585" w:type="dxa"/>
            <w:vAlign w:val="center"/>
          </w:tcPr>
          <w:p w14:paraId="3DC62F8E">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10</w:t>
            </w:r>
          </w:p>
        </w:tc>
        <w:tc>
          <w:tcPr>
            <w:tcW w:w="1615" w:type="dxa"/>
            <w:vAlign w:val="center"/>
          </w:tcPr>
          <w:p w14:paraId="253DFA6B">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口腔打磨抛光实训室</w:t>
            </w:r>
          </w:p>
        </w:tc>
        <w:tc>
          <w:tcPr>
            <w:tcW w:w="1587" w:type="dxa"/>
            <w:vAlign w:val="center"/>
          </w:tcPr>
          <w:p w14:paraId="7AC06A35">
            <w:pPr>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可摘局部义齿修复工艺技术</w:t>
            </w:r>
          </w:p>
          <w:p w14:paraId="7470837D">
            <w:pPr>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口腔固定修复工艺技术</w:t>
            </w:r>
          </w:p>
          <w:p w14:paraId="50DC5A47">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全口义齿修复工艺技术</w:t>
            </w:r>
          </w:p>
        </w:tc>
        <w:tc>
          <w:tcPr>
            <w:tcW w:w="1701" w:type="dxa"/>
            <w:vAlign w:val="center"/>
          </w:tcPr>
          <w:p w14:paraId="729F0438">
            <w:pPr>
              <w:pageBreakBefore w:val="0"/>
              <w:widowControl/>
              <w:kinsoku/>
              <w:wordWrap/>
              <w:overflowPunct/>
              <w:topLinePunct w:val="0"/>
              <w:autoSpaceDE w:val="0"/>
              <w:autoSpaceDN w:val="0"/>
              <w:bidi w:val="0"/>
              <w:adjustRightInd w:val="0"/>
              <w:snapToGrid w:val="0"/>
              <w:textAlignment w:val="baseline"/>
              <w:rPr>
                <w:b w:val="0"/>
                <w:bCs/>
              </w:rPr>
            </w:pPr>
            <w:r>
              <w:rPr>
                <w:rFonts w:hint="eastAsia" w:ascii="楷体" w:hAnsi="楷体" w:eastAsia="楷体" w:cs="楷体"/>
                <w:b w:val="0"/>
                <w:bCs/>
                <w:color w:val="auto"/>
                <w:sz w:val="20"/>
                <w:szCs w:val="20"/>
              </w:rPr>
              <w:t>可摘义齿支架打磨抛光技术；口腔固定修复体打磨抛光技术；全口义齿修复体打磨抛光技术</w:t>
            </w:r>
          </w:p>
        </w:tc>
        <w:tc>
          <w:tcPr>
            <w:tcW w:w="722" w:type="dxa"/>
            <w:vAlign w:val="center"/>
          </w:tcPr>
          <w:p w14:paraId="1DAC5968">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lang w:val="en-US" w:eastAsia="zh-CN"/>
              </w:rPr>
              <w:t>120</w:t>
            </w:r>
          </w:p>
        </w:tc>
        <w:tc>
          <w:tcPr>
            <w:tcW w:w="870" w:type="dxa"/>
            <w:vAlign w:val="center"/>
          </w:tcPr>
          <w:p w14:paraId="39FCDD98">
            <w:pPr>
              <w:keepNext w:val="0"/>
              <w:keepLines w:val="0"/>
              <w:pageBreakBefore w:val="0"/>
              <w:widowControl/>
              <w:kinsoku/>
              <w:wordWrap/>
              <w:overflowPunct/>
              <w:topLinePunct w:val="0"/>
              <w:autoSpaceDE w:val="0"/>
              <w:autoSpaceDN w:val="0"/>
              <w:bidi w:val="0"/>
              <w:adjustRightInd w:val="0"/>
              <w:snapToGrid w:val="0"/>
              <w:spacing w:line="300" w:lineRule="exact"/>
              <w:ind w:firstLine="100" w:firstLineChars="50"/>
              <w:jc w:val="center"/>
              <w:textAlignment w:val="baseline"/>
              <w:rPr>
                <w:b w:val="0"/>
                <w:bCs/>
              </w:rPr>
            </w:pPr>
            <w:r>
              <w:rPr>
                <w:rFonts w:hint="eastAsia" w:ascii="楷体" w:hAnsi="楷体" w:eastAsia="楷体" w:cs="楷体"/>
                <w:b w:val="0"/>
                <w:bCs/>
                <w:color w:val="auto"/>
                <w:sz w:val="20"/>
                <w:szCs w:val="20"/>
                <w:lang w:val="en-US" w:eastAsia="zh-CN"/>
              </w:rPr>
              <w:t>7C-202</w:t>
            </w:r>
          </w:p>
        </w:tc>
        <w:tc>
          <w:tcPr>
            <w:tcW w:w="2411" w:type="dxa"/>
            <w:vAlign w:val="center"/>
          </w:tcPr>
          <w:p w14:paraId="2AC63BE5">
            <w:pPr>
              <w:keepNext w:val="0"/>
              <w:keepLines w:val="0"/>
              <w:pageBreakBefore w:val="0"/>
              <w:widowControl/>
              <w:kinsoku/>
              <w:wordWrap/>
              <w:overflowPunct/>
              <w:topLinePunct w:val="0"/>
              <w:autoSpaceDE w:val="0"/>
              <w:autoSpaceDN w:val="0"/>
              <w:bidi w:val="0"/>
              <w:adjustRightInd w:val="0"/>
              <w:snapToGrid w:val="0"/>
              <w:spacing w:line="300" w:lineRule="exact"/>
              <w:ind w:left="-50" w:leftChars="0" w:right="-50" w:rightChars="0"/>
              <w:jc w:val="center"/>
              <w:textAlignment w:val="baseline"/>
              <w:rPr>
                <w:b w:val="0"/>
                <w:bCs/>
              </w:rPr>
            </w:pPr>
            <w:r>
              <w:rPr>
                <w:rFonts w:hint="eastAsia" w:ascii="楷体" w:hAnsi="楷体" w:eastAsia="楷体" w:cs="楷体"/>
                <w:b w:val="0"/>
                <w:bCs/>
                <w:color w:val="auto"/>
                <w:kern w:val="0"/>
                <w:sz w:val="20"/>
                <w:szCs w:val="20"/>
              </w:rPr>
              <w:t>瓷粉调拌盒、</w:t>
            </w:r>
            <w:r>
              <w:rPr>
                <w:rFonts w:hint="eastAsia" w:ascii="楷体" w:hAnsi="楷体" w:eastAsia="楷体" w:cs="楷体"/>
                <w:b w:val="0"/>
                <w:bCs/>
                <w:color w:val="auto"/>
                <w:sz w:val="20"/>
                <w:szCs w:val="20"/>
              </w:rPr>
              <w:t>筑瓷工具套装、比色板、烤瓷烧结炉、台式打磨机</w:t>
            </w:r>
          </w:p>
        </w:tc>
      </w:tr>
      <w:tr w14:paraId="28B85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585" w:type="dxa"/>
            <w:vAlign w:val="center"/>
          </w:tcPr>
          <w:p w14:paraId="0A967089">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11</w:t>
            </w:r>
          </w:p>
        </w:tc>
        <w:tc>
          <w:tcPr>
            <w:tcW w:w="1615" w:type="dxa"/>
            <w:vAlign w:val="center"/>
          </w:tcPr>
          <w:p w14:paraId="51203A9C">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口腔CAD/CAM实训室</w:t>
            </w:r>
          </w:p>
        </w:tc>
        <w:tc>
          <w:tcPr>
            <w:tcW w:w="1587" w:type="dxa"/>
            <w:vAlign w:val="center"/>
          </w:tcPr>
          <w:p w14:paraId="481B4409">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口腔固定修复工艺技术</w:t>
            </w:r>
          </w:p>
        </w:tc>
        <w:tc>
          <w:tcPr>
            <w:tcW w:w="1701" w:type="dxa"/>
            <w:vAlign w:val="top"/>
          </w:tcPr>
          <w:p w14:paraId="603165F8">
            <w:pPr>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rPr>
              <w:t>CAD单冠设计；CAD固定桥设计；CAM单冠制作</w:t>
            </w:r>
          </w:p>
        </w:tc>
        <w:tc>
          <w:tcPr>
            <w:tcW w:w="722" w:type="dxa"/>
            <w:vAlign w:val="center"/>
          </w:tcPr>
          <w:p w14:paraId="2B649480">
            <w:pPr>
              <w:keepNext w:val="0"/>
              <w:keepLines w:val="0"/>
              <w:pageBreakBefore w:val="0"/>
              <w:widowControl/>
              <w:kinsoku/>
              <w:wordWrap/>
              <w:overflowPunct/>
              <w:topLinePunct w:val="0"/>
              <w:autoSpaceDE w:val="0"/>
              <w:autoSpaceDN w:val="0"/>
              <w:bidi w:val="0"/>
              <w:adjustRightInd w:val="0"/>
              <w:snapToGrid w:val="0"/>
              <w:spacing w:line="300" w:lineRule="exact"/>
              <w:ind w:left="-50" w:leftChars="0" w:right="-50" w:rightChars="0"/>
              <w:jc w:val="center"/>
              <w:textAlignment w:val="baseline"/>
              <w:rPr>
                <w:b w:val="0"/>
                <w:bCs/>
              </w:rPr>
            </w:pPr>
            <w:r>
              <w:rPr>
                <w:rFonts w:hint="eastAsia" w:ascii="楷体" w:hAnsi="楷体" w:eastAsia="楷体" w:cs="楷体"/>
                <w:b w:val="0"/>
                <w:bCs/>
                <w:color w:val="auto"/>
                <w:sz w:val="20"/>
                <w:szCs w:val="20"/>
                <w:lang w:val="en-US" w:eastAsia="zh-CN"/>
              </w:rPr>
              <w:t>80</w:t>
            </w:r>
          </w:p>
        </w:tc>
        <w:tc>
          <w:tcPr>
            <w:tcW w:w="870" w:type="dxa"/>
            <w:vAlign w:val="center"/>
          </w:tcPr>
          <w:p w14:paraId="0F10D819">
            <w:pPr>
              <w:keepNext w:val="0"/>
              <w:keepLines w:val="0"/>
              <w:pageBreakBefore w:val="0"/>
              <w:widowControl/>
              <w:kinsoku/>
              <w:wordWrap/>
              <w:overflowPunct/>
              <w:topLinePunct w:val="0"/>
              <w:autoSpaceDE w:val="0"/>
              <w:autoSpaceDN w:val="0"/>
              <w:bidi w:val="0"/>
              <w:adjustRightInd w:val="0"/>
              <w:snapToGrid w:val="0"/>
              <w:spacing w:line="300" w:lineRule="exact"/>
              <w:ind w:left="-50" w:leftChars="0" w:right="-50" w:rightChars="0"/>
              <w:jc w:val="center"/>
              <w:textAlignment w:val="baseline"/>
              <w:rPr>
                <w:b w:val="0"/>
                <w:bCs/>
              </w:rPr>
            </w:pPr>
            <w:r>
              <w:rPr>
                <w:rFonts w:hint="eastAsia" w:ascii="楷体" w:hAnsi="楷体" w:eastAsia="楷体" w:cs="楷体"/>
                <w:b w:val="0"/>
                <w:bCs/>
                <w:color w:val="auto"/>
                <w:sz w:val="20"/>
                <w:szCs w:val="20"/>
                <w:lang w:val="en-US" w:eastAsia="zh-CN"/>
              </w:rPr>
              <w:t>7C-209</w:t>
            </w:r>
          </w:p>
        </w:tc>
        <w:tc>
          <w:tcPr>
            <w:tcW w:w="2411" w:type="dxa"/>
            <w:vAlign w:val="center"/>
          </w:tcPr>
          <w:p w14:paraId="750DEAA0">
            <w:pPr>
              <w:keepNext w:val="0"/>
              <w:keepLines w:val="0"/>
              <w:pageBreakBefore w:val="0"/>
              <w:widowControl/>
              <w:kinsoku/>
              <w:wordWrap/>
              <w:overflowPunct/>
              <w:topLinePunct w:val="0"/>
              <w:autoSpaceDE w:val="0"/>
              <w:autoSpaceDN w:val="0"/>
              <w:bidi w:val="0"/>
              <w:adjustRightInd w:val="0"/>
              <w:snapToGrid w:val="0"/>
              <w:spacing w:line="300" w:lineRule="exact"/>
              <w:ind w:left="-50" w:right="-50"/>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CAD/CAM系统；台式口内扫描仪；研磨仪；</w:t>
            </w:r>
          </w:p>
          <w:p w14:paraId="5FD8F424">
            <w:pPr>
              <w:keepNext w:val="0"/>
              <w:keepLines w:val="0"/>
              <w:pageBreakBefore w:val="0"/>
              <w:widowControl/>
              <w:kinsoku/>
              <w:wordWrap/>
              <w:overflowPunct/>
              <w:topLinePunct w:val="0"/>
              <w:autoSpaceDE w:val="0"/>
              <w:autoSpaceDN w:val="0"/>
              <w:bidi w:val="0"/>
              <w:adjustRightInd w:val="0"/>
              <w:snapToGrid w:val="0"/>
              <w:spacing w:line="300" w:lineRule="exact"/>
              <w:ind w:left="-50" w:leftChars="0" w:right="-50" w:rightChars="0"/>
              <w:jc w:val="center"/>
              <w:textAlignment w:val="baseline"/>
              <w:rPr>
                <w:b w:val="0"/>
                <w:bCs/>
              </w:rPr>
            </w:pPr>
            <w:r>
              <w:rPr>
                <w:rFonts w:hint="eastAsia" w:ascii="楷体" w:hAnsi="楷体" w:eastAsia="楷体" w:cs="楷体"/>
                <w:b w:val="0"/>
                <w:bCs/>
                <w:color w:val="auto"/>
                <w:sz w:val="20"/>
                <w:szCs w:val="20"/>
              </w:rPr>
              <w:t>CAD/CAM-烧结炉</w:t>
            </w:r>
          </w:p>
        </w:tc>
      </w:tr>
      <w:tr w14:paraId="3C875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585" w:type="dxa"/>
            <w:vAlign w:val="center"/>
          </w:tcPr>
          <w:p w14:paraId="6E830CC1">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12</w:t>
            </w:r>
          </w:p>
        </w:tc>
        <w:tc>
          <w:tcPr>
            <w:tcW w:w="1615" w:type="dxa"/>
            <w:vAlign w:val="center"/>
          </w:tcPr>
          <w:p w14:paraId="0E6478DE">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口腔临床综合实训室</w:t>
            </w:r>
          </w:p>
        </w:tc>
        <w:tc>
          <w:tcPr>
            <w:tcW w:w="1587" w:type="dxa"/>
            <w:vAlign w:val="center"/>
          </w:tcPr>
          <w:p w14:paraId="738A491A">
            <w:pPr>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口腔内科学</w:t>
            </w:r>
          </w:p>
          <w:p w14:paraId="0863BAFF">
            <w:pPr>
              <w:pageBreakBefore w:val="0"/>
              <w:widowControl/>
              <w:kinsoku/>
              <w:wordWrap/>
              <w:overflowPunct/>
              <w:topLinePunct w:val="0"/>
              <w:autoSpaceDE w:val="0"/>
              <w:autoSpaceDN w:val="0"/>
              <w:bidi w:val="0"/>
              <w:adjustRightInd w:val="0"/>
              <w:snapToGrid w:val="0"/>
              <w:jc w:val="center"/>
              <w:textAlignment w:val="baseline"/>
              <w:rPr>
                <w:rFonts w:hint="eastAsia" w:ascii="楷体" w:hAnsi="楷体" w:eastAsia="楷体" w:cs="楷体"/>
                <w:b w:val="0"/>
                <w:bCs/>
                <w:color w:val="auto"/>
                <w:spacing w:val="-10"/>
                <w:sz w:val="20"/>
                <w:szCs w:val="20"/>
              </w:rPr>
            </w:pPr>
            <w:r>
              <w:rPr>
                <w:rFonts w:hint="eastAsia" w:ascii="楷体" w:hAnsi="楷体" w:eastAsia="楷体" w:cs="楷体"/>
                <w:b w:val="0"/>
                <w:bCs/>
                <w:color w:val="auto"/>
                <w:spacing w:val="-10"/>
                <w:sz w:val="20"/>
                <w:szCs w:val="20"/>
              </w:rPr>
              <w:t>口腔颌面外科学</w:t>
            </w:r>
          </w:p>
          <w:p w14:paraId="543F846C">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口腔预防医学</w:t>
            </w:r>
          </w:p>
        </w:tc>
        <w:tc>
          <w:tcPr>
            <w:tcW w:w="1701" w:type="dxa"/>
            <w:vAlign w:val="center"/>
          </w:tcPr>
          <w:p w14:paraId="2A04A83D">
            <w:pPr>
              <w:pageBreakBefore w:val="0"/>
              <w:widowControl/>
              <w:kinsoku/>
              <w:wordWrap/>
              <w:overflowPunct/>
              <w:topLinePunct w:val="0"/>
              <w:autoSpaceDE w:val="0"/>
              <w:autoSpaceDN w:val="0"/>
              <w:bidi w:val="0"/>
              <w:adjustRightInd w:val="0"/>
              <w:snapToGrid w:val="0"/>
              <w:jc w:val="left"/>
              <w:textAlignment w:val="baseline"/>
              <w:rPr>
                <w:b w:val="0"/>
                <w:bCs/>
              </w:rPr>
            </w:pPr>
            <w:r>
              <w:rPr>
                <w:rFonts w:hint="eastAsia" w:ascii="楷体" w:hAnsi="楷体" w:eastAsia="楷体" w:cs="楷体"/>
                <w:b w:val="0"/>
                <w:bCs/>
                <w:color w:val="auto"/>
                <w:sz w:val="20"/>
                <w:szCs w:val="20"/>
              </w:rPr>
              <w:t>口腔检查及</w:t>
            </w:r>
            <w:r>
              <w:rPr>
                <w:rFonts w:hint="eastAsia" w:ascii="楷体" w:hAnsi="楷体" w:eastAsia="楷体" w:cs="楷体"/>
                <w:b w:val="0"/>
                <w:bCs/>
                <w:color w:val="auto"/>
                <w:sz w:val="20"/>
                <w:szCs w:val="20"/>
                <w:lang w:eastAsia="zh-CN"/>
              </w:rPr>
              <w:t>病历</w:t>
            </w:r>
            <w:r>
              <w:rPr>
                <w:rFonts w:hint="eastAsia" w:ascii="楷体" w:hAnsi="楷体" w:eastAsia="楷体" w:cs="楷体"/>
                <w:b w:val="0"/>
                <w:bCs/>
                <w:color w:val="auto"/>
                <w:sz w:val="20"/>
                <w:szCs w:val="20"/>
              </w:rPr>
              <w:t>书写；窝洞制备；龋病充填；洁治术；刷牙；牙线；口腔卫生宣教</w:t>
            </w:r>
          </w:p>
        </w:tc>
        <w:tc>
          <w:tcPr>
            <w:tcW w:w="722" w:type="dxa"/>
            <w:vAlign w:val="center"/>
          </w:tcPr>
          <w:p w14:paraId="079A7125">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b w:val="0"/>
                <w:bCs/>
              </w:rPr>
            </w:pPr>
            <w:r>
              <w:rPr>
                <w:rFonts w:hint="eastAsia" w:ascii="楷体" w:hAnsi="楷体" w:eastAsia="楷体" w:cs="楷体"/>
                <w:b w:val="0"/>
                <w:bCs/>
                <w:color w:val="auto"/>
                <w:sz w:val="20"/>
                <w:szCs w:val="20"/>
                <w:lang w:val="en-US" w:eastAsia="zh-CN"/>
              </w:rPr>
              <w:t>360</w:t>
            </w:r>
          </w:p>
        </w:tc>
        <w:tc>
          <w:tcPr>
            <w:tcW w:w="870" w:type="dxa"/>
            <w:vAlign w:val="center"/>
          </w:tcPr>
          <w:p w14:paraId="481AF869">
            <w:pPr>
              <w:keepNext w:val="0"/>
              <w:keepLines w:val="0"/>
              <w:pageBreakBefore w:val="0"/>
              <w:widowControl/>
              <w:kinsoku/>
              <w:wordWrap/>
              <w:overflowPunct/>
              <w:topLinePunct w:val="0"/>
              <w:autoSpaceDE w:val="0"/>
              <w:autoSpaceDN w:val="0"/>
              <w:bidi w:val="0"/>
              <w:adjustRightInd w:val="0"/>
              <w:snapToGrid w:val="0"/>
              <w:spacing w:line="300" w:lineRule="exact"/>
              <w:ind w:firstLine="100" w:firstLineChars="50"/>
              <w:jc w:val="center"/>
              <w:textAlignment w:val="baseline"/>
              <w:rPr>
                <w:b w:val="0"/>
                <w:bCs/>
              </w:rPr>
            </w:pPr>
            <w:r>
              <w:rPr>
                <w:rFonts w:hint="eastAsia" w:ascii="楷体" w:hAnsi="楷体" w:eastAsia="楷体" w:cs="楷体"/>
                <w:b w:val="0"/>
                <w:bCs/>
                <w:color w:val="auto"/>
                <w:sz w:val="20"/>
                <w:szCs w:val="20"/>
                <w:lang w:val="en-US" w:eastAsia="zh-CN"/>
              </w:rPr>
              <w:t>7C-206、207、211</w:t>
            </w:r>
          </w:p>
        </w:tc>
        <w:tc>
          <w:tcPr>
            <w:tcW w:w="2411" w:type="dxa"/>
            <w:vAlign w:val="center"/>
          </w:tcPr>
          <w:p w14:paraId="4BE8BDDC">
            <w:pPr>
              <w:keepNext w:val="0"/>
              <w:keepLines w:val="0"/>
              <w:pageBreakBefore w:val="0"/>
              <w:widowControl/>
              <w:kinsoku/>
              <w:wordWrap/>
              <w:overflowPunct/>
              <w:topLinePunct w:val="0"/>
              <w:autoSpaceDE w:val="0"/>
              <w:autoSpaceDN w:val="0"/>
              <w:bidi w:val="0"/>
              <w:adjustRightInd w:val="0"/>
              <w:snapToGrid w:val="0"/>
              <w:spacing w:line="300" w:lineRule="exact"/>
              <w:ind w:left="-50" w:right="-50"/>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综合治疗台、虚拟仿真牙科治疗系统、高速手机、低速手机、根管测量仪、根管显微镜、根管治疗仪、热牙胶充填系统、牙髓活力检测仪、超声波洁牙机、根管治疗马达、超声根管治疗仪、便携式光固化机、橡皮障套装、修复治疗器械、拔牙器械、</w:t>
            </w:r>
          </w:p>
          <w:p w14:paraId="0EEFD5FE">
            <w:pPr>
              <w:keepNext w:val="0"/>
              <w:keepLines w:val="0"/>
              <w:pageBreakBefore w:val="0"/>
              <w:widowControl/>
              <w:kinsoku/>
              <w:wordWrap/>
              <w:overflowPunct/>
              <w:topLinePunct w:val="0"/>
              <w:autoSpaceDE w:val="0"/>
              <w:autoSpaceDN w:val="0"/>
              <w:bidi w:val="0"/>
              <w:adjustRightInd w:val="0"/>
              <w:snapToGrid w:val="0"/>
              <w:spacing w:line="300" w:lineRule="exact"/>
              <w:ind w:left="-50" w:right="-50"/>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口腔颌面外科手术器械、阻滞麻醉模拟训练模型、银汞胶囊调拌机、牙科放大镜  2.5X、牙科空气压缩机、负压抽吸机、封口机、计算机控制口腔局部麻醉仪、色度计比色仪、分段式成型片系统</w:t>
            </w:r>
          </w:p>
          <w:p w14:paraId="65CDCD47">
            <w:pPr>
              <w:keepNext w:val="0"/>
              <w:keepLines w:val="0"/>
              <w:pageBreakBefore w:val="0"/>
              <w:widowControl/>
              <w:kinsoku/>
              <w:wordWrap/>
              <w:overflowPunct/>
              <w:topLinePunct w:val="0"/>
              <w:autoSpaceDE w:val="0"/>
              <w:autoSpaceDN w:val="0"/>
              <w:bidi w:val="0"/>
              <w:adjustRightInd w:val="0"/>
              <w:snapToGrid w:val="0"/>
              <w:spacing w:line="300" w:lineRule="exact"/>
              <w:ind w:left="-50" w:leftChars="0" w:right="-50" w:rightChars="0"/>
              <w:jc w:val="center"/>
              <w:textAlignment w:val="baseline"/>
              <w:rPr>
                <w:b w:val="0"/>
                <w:bCs/>
              </w:rPr>
            </w:pPr>
            <w:r>
              <w:rPr>
                <w:rFonts w:hint="eastAsia" w:ascii="楷体" w:hAnsi="楷体" w:eastAsia="楷体" w:cs="楷体"/>
                <w:b w:val="0"/>
                <w:bCs/>
                <w:color w:val="auto"/>
                <w:sz w:val="20"/>
                <w:szCs w:val="20"/>
              </w:rPr>
              <w:t>灭菌器、超声波</w:t>
            </w:r>
            <w:r>
              <w:rPr>
                <w:rFonts w:hint="eastAsia" w:ascii="楷体" w:hAnsi="楷体" w:eastAsia="楷体" w:cs="楷体"/>
                <w:b w:val="0"/>
                <w:bCs/>
                <w:color w:val="auto"/>
                <w:sz w:val="20"/>
                <w:szCs w:val="20"/>
                <w:lang w:eastAsia="zh-CN"/>
              </w:rPr>
              <w:t>振荡</w:t>
            </w:r>
            <w:r>
              <w:rPr>
                <w:rFonts w:hint="eastAsia" w:ascii="楷体" w:hAnsi="楷体" w:eastAsia="楷体" w:cs="楷体"/>
                <w:b w:val="0"/>
                <w:bCs/>
                <w:color w:val="auto"/>
                <w:sz w:val="20"/>
                <w:szCs w:val="20"/>
              </w:rPr>
              <w:t>清洗机</w:t>
            </w:r>
          </w:p>
        </w:tc>
      </w:tr>
      <w:tr w14:paraId="63A73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585" w:type="dxa"/>
            <w:vAlign w:val="center"/>
          </w:tcPr>
          <w:p w14:paraId="3337D43F">
            <w:pPr>
              <w:pageBreakBefore w:val="0"/>
              <w:widowControl/>
              <w:kinsoku/>
              <w:wordWrap/>
              <w:overflowPunct/>
              <w:topLinePunct w:val="0"/>
              <w:autoSpaceDE w:val="0"/>
              <w:autoSpaceDN w:val="0"/>
              <w:bidi w:val="0"/>
              <w:adjustRightInd w:val="0"/>
              <w:snapToGrid w:val="0"/>
              <w:jc w:val="center"/>
              <w:textAlignment w:val="baseline"/>
              <w:rPr>
                <w:b w:val="0"/>
                <w:bCs/>
              </w:rPr>
            </w:pPr>
            <w:r>
              <w:rPr>
                <w:rFonts w:hint="eastAsia" w:ascii="楷体" w:hAnsi="楷体" w:eastAsia="楷体" w:cs="楷体"/>
                <w:b w:val="0"/>
                <w:bCs/>
                <w:color w:val="auto"/>
                <w:sz w:val="20"/>
                <w:szCs w:val="20"/>
              </w:rPr>
              <w:t>13</w:t>
            </w:r>
          </w:p>
        </w:tc>
        <w:tc>
          <w:tcPr>
            <w:tcW w:w="1615" w:type="dxa"/>
            <w:vAlign w:val="center"/>
          </w:tcPr>
          <w:p w14:paraId="3B126017">
            <w:pPr>
              <w:pageBreakBefore w:val="0"/>
              <w:widowControl/>
              <w:kinsoku/>
              <w:wordWrap/>
              <w:overflowPunct/>
              <w:topLinePunct w:val="0"/>
              <w:autoSpaceDE w:val="0"/>
              <w:autoSpaceDN w:val="0"/>
              <w:bidi w:val="0"/>
              <w:adjustRightInd w:val="0"/>
              <w:snapToGrid w:val="0"/>
              <w:spacing w:line="276" w:lineRule="auto"/>
              <w:jc w:val="center"/>
              <w:textAlignment w:val="baseline"/>
              <w:rPr>
                <w:b w:val="0"/>
                <w:bCs/>
              </w:rPr>
            </w:pPr>
            <w:r>
              <w:rPr>
                <w:rFonts w:hint="eastAsia" w:ascii="楷体" w:hAnsi="楷体" w:eastAsia="楷体" w:cs="楷体"/>
                <w:b w:val="0"/>
                <w:bCs/>
                <w:color w:val="auto"/>
                <w:sz w:val="20"/>
                <w:szCs w:val="20"/>
              </w:rPr>
              <w:t>口腔影像实训室</w:t>
            </w:r>
          </w:p>
        </w:tc>
        <w:tc>
          <w:tcPr>
            <w:tcW w:w="1587" w:type="dxa"/>
            <w:vAlign w:val="center"/>
          </w:tcPr>
          <w:p w14:paraId="5DEB7A04">
            <w:pPr>
              <w:pageBreakBefore w:val="0"/>
              <w:widowControl/>
              <w:kinsoku/>
              <w:wordWrap/>
              <w:overflowPunct/>
              <w:topLinePunct w:val="0"/>
              <w:autoSpaceDE w:val="0"/>
              <w:autoSpaceDN w:val="0"/>
              <w:bidi w:val="0"/>
              <w:adjustRightInd w:val="0"/>
              <w:snapToGrid w:val="0"/>
              <w:spacing w:line="276" w:lineRule="auto"/>
              <w:jc w:val="center"/>
              <w:textAlignment w:val="baseline"/>
              <w:rPr>
                <w:b w:val="0"/>
                <w:bCs/>
              </w:rPr>
            </w:pPr>
            <w:r>
              <w:rPr>
                <w:rFonts w:hint="eastAsia" w:ascii="楷体" w:hAnsi="楷体" w:eastAsia="楷体" w:cs="楷体"/>
                <w:b w:val="0"/>
                <w:bCs/>
                <w:color w:val="auto"/>
                <w:sz w:val="20"/>
                <w:szCs w:val="20"/>
              </w:rPr>
              <w:t>口腔颌面外科学口腔内科学</w:t>
            </w:r>
          </w:p>
        </w:tc>
        <w:tc>
          <w:tcPr>
            <w:tcW w:w="1701" w:type="dxa"/>
            <w:vAlign w:val="center"/>
          </w:tcPr>
          <w:p w14:paraId="67FBC43F">
            <w:pPr>
              <w:pageBreakBefore w:val="0"/>
              <w:widowControl/>
              <w:kinsoku/>
              <w:wordWrap/>
              <w:overflowPunct/>
              <w:topLinePunct w:val="0"/>
              <w:autoSpaceDE w:val="0"/>
              <w:autoSpaceDN w:val="0"/>
              <w:bidi w:val="0"/>
              <w:adjustRightInd w:val="0"/>
              <w:snapToGrid w:val="0"/>
              <w:spacing w:line="276" w:lineRule="auto"/>
              <w:jc w:val="left"/>
              <w:textAlignment w:val="baseline"/>
              <w:rPr>
                <w:b w:val="0"/>
                <w:bCs/>
              </w:rPr>
            </w:pPr>
            <w:r>
              <w:rPr>
                <w:rFonts w:hint="eastAsia" w:ascii="楷体" w:hAnsi="楷体" w:eastAsia="楷体" w:cs="楷体"/>
                <w:b w:val="0"/>
                <w:bCs/>
                <w:color w:val="auto"/>
                <w:sz w:val="20"/>
                <w:szCs w:val="20"/>
              </w:rPr>
              <w:t>口腔颌面部X线技术特点；牙齿、牙周组织正常及病变X线影像；颌骨损伤X线影像；颞下颌关节疾病X线影像</w:t>
            </w:r>
          </w:p>
        </w:tc>
        <w:tc>
          <w:tcPr>
            <w:tcW w:w="722" w:type="dxa"/>
            <w:vAlign w:val="center"/>
          </w:tcPr>
          <w:p w14:paraId="4A16B00C">
            <w:pPr>
              <w:keepNext w:val="0"/>
              <w:keepLines w:val="0"/>
              <w:pageBreakBefore w:val="0"/>
              <w:widowControl/>
              <w:kinsoku/>
              <w:wordWrap/>
              <w:overflowPunct/>
              <w:topLinePunct w:val="0"/>
              <w:autoSpaceDE w:val="0"/>
              <w:autoSpaceDN w:val="0"/>
              <w:bidi w:val="0"/>
              <w:adjustRightInd w:val="0"/>
              <w:snapToGrid w:val="0"/>
              <w:spacing w:line="300" w:lineRule="exact"/>
              <w:ind w:left="-50" w:leftChars="0" w:right="-50" w:rightChars="0"/>
              <w:jc w:val="center"/>
              <w:textAlignment w:val="baseline"/>
              <w:rPr>
                <w:b w:val="0"/>
                <w:bCs/>
              </w:rPr>
            </w:pPr>
            <w:r>
              <w:rPr>
                <w:rFonts w:hint="eastAsia" w:ascii="楷体" w:hAnsi="楷体" w:eastAsia="楷体" w:cs="楷体"/>
                <w:b w:val="0"/>
                <w:bCs/>
                <w:color w:val="auto"/>
                <w:sz w:val="20"/>
                <w:szCs w:val="20"/>
                <w:lang w:val="en-US" w:eastAsia="zh-CN"/>
              </w:rPr>
              <w:t>80</w:t>
            </w:r>
          </w:p>
        </w:tc>
        <w:tc>
          <w:tcPr>
            <w:tcW w:w="870" w:type="dxa"/>
            <w:vAlign w:val="center"/>
          </w:tcPr>
          <w:p w14:paraId="4B263141">
            <w:pPr>
              <w:keepNext w:val="0"/>
              <w:keepLines w:val="0"/>
              <w:pageBreakBefore w:val="0"/>
              <w:widowControl/>
              <w:kinsoku/>
              <w:wordWrap/>
              <w:overflowPunct/>
              <w:topLinePunct w:val="0"/>
              <w:autoSpaceDE w:val="0"/>
              <w:autoSpaceDN w:val="0"/>
              <w:bidi w:val="0"/>
              <w:adjustRightInd w:val="0"/>
              <w:snapToGrid w:val="0"/>
              <w:spacing w:line="300" w:lineRule="exact"/>
              <w:ind w:left="-50" w:leftChars="0" w:right="-50" w:rightChars="0"/>
              <w:jc w:val="center"/>
              <w:textAlignment w:val="baseline"/>
              <w:rPr>
                <w:b w:val="0"/>
                <w:bCs/>
              </w:rPr>
            </w:pPr>
            <w:r>
              <w:rPr>
                <w:rFonts w:hint="eastAsia" w:ascii="楷体" w:hAnsi="楷体" w:eastAsia="楷体" w:cs="楷体"/>
                <w:b w:val="0"/>
                <w:bCs/>
                <w:color w:val="auto"/>
                <w:sz w:val="20"/>
                <w:szCs w:val="20"/>
                <w:lang w:val="en-US" w:eastAsia="zh-CN"/>
              </w:rPr>
              <w:t>7C-104-106</w:t>
            </w:r>
          </w:p>
        </w:tc>
        <w:tc>
          <w:tcPr>
            <w:tcW w:w="2411" w:type="dxa"/>
            <w:vAlign w:val="center"/>
          </w:tcPr>
          <w:p w14:paraId="4766176D">
            <w:pPr>
              <w:keepNext w:val="0"/>
              <w:keepLines w:val="0"/>
              <w:pageBreakBefore w:val="0"/>
              <w:widowControl/>
              <w:kinsoku/>
              <w:wordWrap/>
              <w:overflowPunct/>
              <w:topLinePunct w:val="0"/>
              <w:autoSpaceDE w:val="0"/>
              <w:autoSpaceDN w:val="0"/>
              <w:bidi w:val="0"/>
              <w:adjustRightInd w:val="0"/>
              <w:snapToGrid w:val="0"/>
              <w:spacing w:line="300" w:lineRule="exact"/>
              <w:ind w:left="-50" w:right="-50"/>
              <w:jc w:val="center"/>
              <w:textAlignment w:val="baseline"/>
              <w:rPr>
                <w:rFonts w:hint="eastAsia" w:ascii="楷体" w:hAnsi="楷体" w:eastAsia="楷体" w:cs="楷体"/>
                <w:b w:val="0"/>
                <w:bCs/>
                <w:color w:val="auto"/>
                <w:sz w:val="20"/>
                <w:szCs w:val="20"/>
              </w:rPr>
            </w:pPr>
            <w:r>
              <w:rPr>
                <w:rFonts w:hint="eastAsia" w:ascii="楷体" w:hAnsi="楷体" w:eastAsia="楷体" w:cs="楷体"/>
                <w:b w:val="0"/>
                <w:bCs/>
                <w:color w:val="auto"/>
                <w:sz w:val="20"/>
                <w:szCs w:val="20"/>
              </w:rPr>
              <w:t>数字化曲面断层机；</w:t>
            </w:r>
          </w:p>
          <w:p w14:paraId="3587BEB8">
            <w:pPr>
              <w:keepNext w:val="0"/>
              <w:keepLines w:val="0"/>
              <w:pageBreakBefore w:val="0"/>
              <w:widowControl/>
              <w:kinsoku/>
              <w:wordWrap/>
              <w:overflowPunct/>
              <w:topLinePunct w:val="0"/>
              <w:autoSpaceDE w:val="0"/>
              <w:autoSpaceDN w:val="0"/>
              <w:bidi w:val="0"/>
              <w:adjustRightInd w:val="0"/>
              <w:snapToGrid w:val="0"/>
              <w:spacing w:line="300" w:lineRule="exact"/>
              <w:ind w:left="-50" w:leftChars="0" w:right="-50" w:rightChars="0"/>
              <w:jc w:val="center"/>
              <w:textAlignment w:val="baseline"/>
              <w:rPr>
                <w:b w:val="0"/>
                <w:bCs/>
              </w:rPr>
            </w:pPr>
            <w:r>
              <w:rPr>
                <w:rFonts w:hint="eastAsia" w:ascii="楷体" w:hAnsi="楷体" w:eastAsia="楷体" w:cs="楷体"/>
                <w:b w:val="0"/>
                <w:bCs/>
                <w:color w:val="auto"/>
                <w:sz w:val="20"/>
                <w:szCs w:val="20"/>
              </w:rPr>
              <w:t>口腔X射线计算机体层摄影系统（CBCT）</w:t>
            </w:r>
          </w:p>
        </w:tc>
      </w:tr>
    </w:tbl>
    <w:p w14:paraId="15CBAB16">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textAlignment w:val="baseline"/>
        <w:rPr>
          <w:b/>
          <w:bCs/>
          <w:spacing w:val="5"/>
        </w:rPr>
      </w:pPr>
      <w:r>
        <w:rPr>
          <w:b/>
          <w:bCs/>
          <w:spacing w:val="5"/>
        </w:rPr>
        <w:t>3.校外实习实训基地</w:t>
      </w:r>
    </w:p>
    <w:p w14:paraId="1CE9CB1F">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本专业具有稳定的校外实习实训基地，设施设备齐全，满足学生实习实训需求。其中，通过国际质量管理体系ISO9001认证的义齿生产企业14家，如深圳康泰健医疗科技股份有限公司、现代牙科技术（东莞）有限公司、佛山市智能臻德齿科有限公司、贵州永美健医疗器械有限公司、深圳市金悠然科技有限公司、深圳坤立科技有限公司、银川东兴义齿有限公司、甘肃东兴义齿有限公司、甘肃群益义齿有限公司、甘肃鑫大正义齿有限公司、又见臻威（甘肃）医疗器械设备有限公司、兰州荣光数字化口腔技术中心等企业，为专业提供口腔医学技术等相关实习见、实习岗位。</w:t>
      </w:r>
    </w:p>
    <w:p w14:paraId="13BD9D41">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专业拟进行2026级学生“1.5+0.5+1”三段进阶式人才培养模式者，校外实训基地：深圳市坤立义齿科技有限公司、深圳市康泰健医疗科技股份有限公司、现代牙科技术（东莞）有限公司、珠海璞瑧义齿研发制造有限公司、兰州群益义齿有限公司、甘肃鑫大正医疗器械有限公司、甘肃东兴义齿有限公司等企业。</w:t>
      </w:r>
    </w:p>
    <w:p w14:paraId="4EB04F87">
      <w:pPr>
        <w:pStyle w:val="3"/>
        <w:keepNext/>
        <w:keepLines/>
        <w:pageBreakBefore w:val="0"/>
        <w:widowControl/>
        <w:kinsoku/>
        <w:wordWrap/>
        <w:overflowPunct/>
        <w:topLinePunct w:val="0"/>
        <w:autoSpaceDE w:val="0"/>
        <w:autoSpaceDN w:val="0"/>
        <w:bidi w:val="0"/>
        <w:adjustRightInd w:val="0"/>
        <w:snapToGrid w:val="0"/>
        <w:spacing w:before="0" w:beforeLines="50" w:after="0" w:line="240" w:lineRule="auto"/>
        <w:textAlignment w:val="baseline"/>
      </w:pPr>
      <w:bookmarkStart w:id="41" w:name="_Toc10872"/>
      <w:bookmarkStart w:id="42" w:name="_Toc3600"/>
      <w:r>
        <w:t>（三）教学资源</w:t>
      </w:r>
      <w:bookmarkEnd w:id="41"/>
      <w:bookmarkEnd w:id="42"/>
    </w:p>
    <w:p w14:paraId="7C921238">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textAlignment w:val="baseline"/>
        <w:rPr>
          <w:rFonts w:hint="eastAsia"/>
          <w:spacing w:val="8"/>
          <w:lang w:val="en-US" w:eastAsia="zh-CN"/>
        </w:rPr>
      </w:pPr>
      <w:r>
        <w:rPr>
          <w:rFonts w:hint="eastAsia"/>
          <w:spacing w:val="8"/>
          <w:lang w:val="en-US" w:eastAsia="zh-CN"/>
        </w:rPr>
        <w:t>1.教材选用</w:t>
      </w:r>
    </w:p>
    <w:p w14:paraId="28724C5B">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textAlignment w:val="baseline"/>
        <w:rPr>
          <w:rFonts w:hint="eastAsia"/>
          <w:b w:val="0"/>
          <w:bCs/>
          <w:spacing w:val="8"/>
          <w:lang w:val="en-US" w:eastAsia="zh-CN"/>
        </w:rPr>
      </w:pPr>
      <w:r>
        <w:rPr>
          <w:rFonts w:hint="eastAsia"/>
          <w:b w:val="0"/>
          <w:bCs/>
          <w:spacing w:val="8"/>
          <w:lang w:val="en-US" w:eastAsia="zh-CN"/>
        </w:rPr>
        <w:t>选用近三年出版的国家规划教材、校企（院校）合作开发的特色活页式教材以及与口腔医学技术专业人才培养方案中所需求的执业/职业资格证书或技能证书等考试相结合的教材。</w:t>
      </w:r>
    </w:p>
    <w:p w14:paraId="61C9273F">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textAlignment w:val="baseline"/>
        <w:rPr>
          <w:rFonts w:hint="eastAsia"/>
          <w:spacing w:val="8"/>
          <w:lang w:val="en-US" w:eastAsia="zh-CN"/>
        </w:rPr>
      </w:pPr>
      <w:r>
        <w:rPr>
          <w:rFonts w:hint="eastAsia"/>
          <w:spacing w:val="8"/>
          <w:lang w:val="en-US" w:eastAsia="zh-CN"/>
        </w:rPr>
        <w:t>2.图书文献</w:t>
      </w:r>
    </w:p>
    <w:p w14:paraId="2D47C446">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textAlignment w:val="baseline"/>
        <w:rPr>
          <w:rFonts w:hint="eastAsia"/>
          <w:b w:val="0"/>
          <w:bCs/>
          <w:spacing w:val="8"/>
          <w:lang w:val="en-US" w:eastAsia="zh-CN"/>
        </w:rPr>
      </w:pPr>
      <w:r>
        <w:rPr>
          <w:rFonts w:hint="eastAsia"/>
          <w:b w:val="0"/>
          <w:bCs/>
          <w:spacing w:val="8"/>
          <w:lang w:val="en-US" w:eastAsia="zh-CN"/>
        </w:rPr>
        <w:t>配备能满足人才培养、专业建设、课程建设、教科研等工作需要的图书文献。主要包括：口腔医学技术专业政策法规、行业标准、技术规范以及操作手册等；供口腔医学技术方向用辅助及拓展教材；口腔专业学术期刊等。</w:t>
      </w:r>
    </w:p>
    <w:p w14:paraId="6749F154">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textAlignment w:val="baseline"/>
        <w:rPr>
          <w:rFonts w:hint="eastAsia"/>
          <w:spacing w:val="8"/>
          <w:lang w:val="en-US" w:eastAsia="zh-CN"/>
        </w:rPr>
      </w:pPr>
      <w:r>
        <w:rPr>
          <w:rFonts w:hint="eastAsia"/>
          <w:spacing w:val="8"/>
          <w:lang w:val="en-US" w:eastAsia="zh-CN"/>
        </w:rPr>
        <w:t>3.数字教学资源</w:t>
      </w:r>
    </w:p>
    <w:p w14:paraId="3C240444">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textAlignment w:val="baseline"/>
        <w:rPr>
          <w:rFonts w:hint="eastAsia"/>
          <w:spacing w:val="8"/>
          <w:lang w:val="en-US" w:eastAsia="zh-CN"/>
        </w:rPr>
      </w:pPr>
      <w:r>
        <w:rPr>
          <w:rFonts w:hint="eastAsia"/>
          <w:b w:val="0"/>
          <w:bCs/>
          <w:spacing w:val="8"/>
          <w:lang w:val="en-US" w:eastAsia="zh-CN"/>
        </w:rPr>
        <w:t>建设、配备本专业音视频素材、教学课件、数字化教学案例库、虚拟仿真软件、数字教材等专业教学资源库，精品资源共享课，共享型在线开放课程等。</w:t>
      </w:r>
    </w:p>
    <w:p w14:paraId="66BFFC7E">
      <w:pPr>
        <w:pStyle w:val="3"/>
        <w:keepNext/>
        <w:keepLines/>
        <w:pageBreakBefore w:val="0"/>
        <w:widowControl/>
        <w:kinsoku/>
        <w:wordWrap/>
        <w:overflowPunct/>
        <w:topLinePunct w:val="0"/>
        <w:autoSpaceDE w:val="0"/>
        <w:autoSpaceDN w:val="0"/>
        <w:bidi w:val="0"/>
        <w:adjustRightInd w:val="0"/>
        <w:snapToGrid w:val="0"/>
        <w:spacing w:before="0" w:beforeLines="50" w:after="0" w:line="240" w:lineRule="auto"/>
        <w:textAlignment w:val="baseline"/>
      </w:pPr>
      <w:bookmarkStart w:id="43" w:name="_Toc21451"/>
      <w:bookmarkStart w:id="44" w:name="_Toc17461"/>
      <w:r>
        <w:t>（四）教学方法</w:t>
      </w:r>
      <w:bookmarkEnd w:id="43"/>
      <w:bookmarkEnd w:id="44"/>
    </w:p>
    <w:p w14:paraId="3B81B15D">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1.理实一体化</w:t>
      </w:r>
    </w:p>
    <w:p w14:paraId="79B49ABF">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各课程应注重思政教育、劳动教育，提倡“理实一体化”教学，专业核心课程应探索项目任务、行动导向式教学；职业安全、社会责任、绿色环保、创新创业、社会主义核心价值观教育应融入专业课程教学中；应利用第二课堂组织开展社团活动、德育活动、志愿者服务提高学生综合素质及沟通协作能力。</w:t>
      </w:r>
    </w:p>
    <w:p w14:paraId="72A4EFDA">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2.翻转课堂</w:t>
      </w:r>
    </w:p>
    <w:p w14:paraId="66D4C68A">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借助网络课程资源平台，通过翻转课堂的模式，教师课前布置学习任务、学生利用网络提前进行相关知识的学习后在课堂进行任务的分析讨论并提出解决方案。配合使用讲授法、案例教学法、角色扮演法、思维导图法等教学方法。起到以学生为中心，以问题为导向的作用，充分调动学生的学习积极性，进而达到本专业人才培养在知识、技能、素质方面的目标。</w:t>
      </w:r>
    </w:p>
    <w:p w14:paraId="3095EA1F">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3.信息化教学</w:t>
      </w:r>
    </w:p>
    <w:p w14:paraId="09D0B99B">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 xml:space="preserve">结合智慧树在线精品课程、中国慕课、国家级教学资源库等信息化教学资源，通过网络平台进行专业课程的教学，完成相应教学任务、进行教学评价及课程考核。同时，利用网络学习平台总结学生学习规律，及时进行学习任务的调整，通过相应数据分析，实现专业教学情况的总体监控。 </w:t>
      </w:r>
    </w:p>
    <w:p w14:paraId="65A4B9ED">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4.产教融合协同育人</w:t>
      </w:r>
      <w:bookmarkStart w:id="45" w:name="_Toc9826"/>
    </w:p>
    <w:p w14:paraId="3170EFB8">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除以上教学方法外，</w:t>
      </w:r>
      <w:bookmarkEnd w:id="45"/>
      <w:r>
        <w:rPr>
          <w:rFonts w:hint="eastAsia" w:ascii="仿宋" w:hAnsi="仿宋" w:eastAsia="仿宋" w:cs="仿宋"/>
          <w:b w:val="0"/>
          <w:bCs/>
          <w:snapToGrid w:val="0"/>
          <w:color w:val="000000"/>
          <w:spacing w:val="8"/>
          <w:kern w:val="0"/>
          <w:sz w:val="31"/>
          <w:szCs w:val="31"/>
          <w:lang w:val="en-US" w:eastAsia="zh-CN" w:bidi="ar-SA"/>
        </w:rPr>
        <w:t>三段进阶式人才培养以产教融合协同育人教学方法贯穿始终，以实现教学与产业的深度融合。校内 1.5 年，在校进行基础课和专业课的学习。0.5 年将技能训练与见习融合，白天开展见习教学，晚上学校组织线上理论学习。校外 1 年实习，在义齿</w:t>
      </w:r>
      <w:r>
        <w:rPr>
          <w:rFonts w:hint="eastAsia" w:cs="仿宋"/>
          <w:b w:val="0"/>
          <w:bCs/>
          <w:snapToGrid w:val="0"/>
          <w:color w:val="000000"/>
          <w:spacing w:val="8"/>
          <w:kern w:val="0"/>
          <w:sz w:val="31"/>
          <w:szCs w:val="31"/>
          <w:lang w:val="en-US" w:eastAsia="zh-CN" w:bidi="ar-SA"/>
        </w:rPr>
        <w:t>加工</w:t>
      </w:r>
      <w:r>
        <w:rPr>
          <w:rFonts w:hint="eastAsia" w:ascii="仿宋" w:hAnsi="仿宋" w:eastAsia="仿宋" w:cs="仿宋"/>
          <w:b w:val="0"/>
          <w:bCs/>
          <w:snapToGrid w:val="0"/>
          <w:color w:val="000000"/>
          <w:spacing w:val="8"/>
          <w:kern w:val="0"/>
          <w:sz w:val="31"/>
          <w:szCs w:val="31"/>
          <w:lang w:val="en-US" w:eastAsia="zh-CN" w:bidi="ar-SA"/>
        </w:rPr>
        <w:t>厂或医疗机构进行跟岗、轮岗实习。校外教学以“实战化输出”为主，通过岗位历练与个性化指导培养职业胜任力，两者形成“理论</w:t>
      </w:r>
      <w:r>
        <w:rPr>
          <w:rFonts w:hint="eastAsia" w:cs="仿宋"/>
          <w:b w:val="0"/>
          <w:bCs/>
          <w:snapToGrid w:val="0"/>
          <w:color w:val="000000"/>
          <w:spacing w:val="8"/>
          <w:kern w:val="0"/>
          <w:sz w:val="31"/>
          <w:szCs w:val="31"/>
          <w:lang w:val="en-US" w:eastAsia="zh-CN" w:bidi="ar-SA"/>
        </w:rPr>
        <w:t>－</w:t>
      </w:r>
      <w:r>
        <w:rPr>
          <w:rFonts w:hint="eastAsia" w:ascii="仿宋" w:hAnsi="仿宋" w:eastAsia="仿宋" w:cs="仿宋"/>
          <w:b w:val="0"/>
          <w:bCs/>
          <w:snapToGrid w:val="0"/>
          <w:color w:val="000000"/>
          <w:spacing w:val="8"/>
          <w:kern w:val="0"/>
          <w:sz w:val="31"/>
          <w:szCs w:val="31"/>
          <w:lang w:val="en-US" w:eastAsia="zh-CN" w:bidi="ar-SA"/>
        </w:rPr>
        <w:t>模拟</w:t>
      </w:r>
      <w:r>
        <w:rPr>
          <w:rFonts w:hint="eastAsia" w:cs="仿宋"/>
          <w:b w:val="0"/>
          <w:bCs/>
          <w:snapToGrid w:val="0"/>
          <w:color w:val="000000"/>
          <w:spacing w:val="8"/>
          <w:kern w:val="0"/>
          <w:sz w:val="31"/>
          <w:szCs w:val="31"/>
          <w:lang w:val="en-US" w:eastAsia="zh-CN" w:bidi="ar-SA"/>
        </w:rPr>
        <w:t>－</w:t>
      </w:r>
      <w:r>
        <w:rPr>
          <w:rFonts w:hint="eastAsia" w:ascii="仿宋" w:hAnsi="仿宋" w:eastAsia="仿宋" w:cs="仿宋"/>
          <w:b w:val="0"/>
          <w:bCs/>
          <w:snapToGrid w:val="0"/>
          <w:color w:val="000000"/>
          <w:spacing w:val="8"/>
          <w:kern w:val="0"/>
          <w:sz w:val="31"/>
          <w:szCs w:val="31"/>
          <w:lang w:val="en-US" w:eastAsia="zh-CN" w:bidi="ar-SA"/>
        </w:rPr>
        <w:t>实战”的递进式能力培养链条。</w:t>
      </w:r>
    </w:p>
    <w:p w14:paraId="7AE98E6F">
      <w:pPr>
        <w:pStyle w:val="3"/>
        <w:keepNext/>
        <w:keepLines/>
        <w:pageBreakBefore w:val="0"/>
        <w:widowControl/>
        <w:kinsoku/>
        <w:wordWrap/>
        <w:overflowPunct/>
        <w:topLinePunct w:val="0"/>
        <w:autoSpaceDE w:val="0"/>
        <w:autoSpaceDN w:val="0"/>
        <w:bidi w:val="0"/>
        <w:adjustRightInd w:val="0"/>
        <w:snapToGrid w:val="0"/>
        <w:spacing w:before="0" w:beforeLines="50" w:after="0" w:line="240" w:lineRule="auto"/>
        <w:textAlignment w:val="baseline"/>
        <w:rPr>
          <w:rFonts w:hint="eastAsia"/>
          <w:lang w:val="en-US" w:eastAsia="zh-CN"/>
        </w:rPr>
      </w:pPr>
      <w:bookmarkStart w:id="46" w:name="_Toc6451"/>
      <w:bookmarkStart w:id="47" w:name="_Toc31416"/>
      <w:r>
        <w:rPr>
          <w:rFonts w:hint="eastAsia"/>
          <w:lang w:val="en-US" w:eastAsia="zh-CN"/>
        </w:rPr>
        <w:t>（五）学习评价</w:t>
      </w:r>
      <w:bookmarkEnd w:id="46"/>
      <w:bookmarkEnd w:id="47"/>
    </w:p>
    <w:p w14:paraId="07B69BD7">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1.建立评价主体多元化（教师、学生、家长、用人单位）、评价内容综合化（专业知识、操作技能、职业素养）、评价方法多样化（项目完成、操作、社会实践、志愿者、理论考核）的评价体系。教师作为专业知识与技能教学的主导者，从理论课程成绩、实训操作规范性、课堂表现等维度进行评价，精准掌握学生知识吸收与技能习得情况；学生通过自评与互评，反思学习过程中的优势与不足，提升自主学习与团队协作能力。家长通过与学生沟通，反馈其职业认知与成长变化，企业导师则依据学生在见习岗位的适应能力、实践表现、职业态度等方面进行评价，出具综合意见。在企时对学生进行全面考核，教师同步跟进，结合实习报告与企业反馈，给出综合性评价。通过这一多元主体、全程参与的评价机制，确保对学生学习成果的评估客观全面，有效促进学生专业能力与职业素养的提升，助力培养符合行业需求的高素质口腔医学技术人才。在评价过程中应注意以下几个方面：①过程性：从平时课堂检测、课后相关任务（作业、小论述、团体活动讨论）、实验实训操作水平、实践技能、理论测试等过程加以考核，尤其应强化线上学习评价（线上资源学习、课中学习活动参与、课外学习任务完成等）。②综合性：考核学生的专业知识、专业技能、职业素质，结合学生的职业素养（职业道德、人文素质、职业意识、职业态度）与专业评价综合考核。③行业评价：用人单位、实习单位对学生的职业胜任、职业发展、综合素质、专业知识和技能的评价。</w:t>
      </w:r>
    </w:p>
    <w:p w14:paraId="1B8BF58C">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2.必修课考核分为考试和考查2种，各门课程的考核必须按教学大纲的要求进行，跨学期课程按学期分别计算；成绩评定采用百分制，未通过必修课程考核时，可补考1次获取相应学分。</w:t>
      </w:r>
    </w:p>
    <w:p w14:paraId="170EA6EC">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3.选修课的成绩评定采用合格与不合格制，未通过课程考核时，限定选修课可补考1次获得相应学分；任意选修课可重修1次获取相应学分。</w:t>
      </w:r>
    </w:p>
    <w:p w14:paraId="0DA1CBC8">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4.毕业实习的评定采用合格与不合格制，各科出科考试通过，并获得30及以上学分时为实习合格。</w:t>
      </w:r>
    </w:p>
    <w:p w14:paraId="22AC6A7B">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5.口腔基础医学概要等实践性强的课程应进行技能考试，成绩单列。</w:t>
      </w:r>
    </w:p>
    <w:p w14:paraId="0DFCF837">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6.毕业考试</w:t>
      </w:r>
      <w:r>
        <w:rPr>
          <w:rFonts w:hint="eastAsia" w:cs="仿宋"/>
          <w:b w:val="0"/>
          <w:bCs/>
          <w:snapToGrid w:val="0"/>
          <w:color w:val="000000"/>
          <w:spacing w:val="8"/>
          <w:kern w:val="0"/>
          <w:sz w:val="31"/>
          <w:szCs w:val="31"/>
          <w:lang w:val="en-US" w:eastAsia="zh-CN" w:bidi="ar-SA"/>
        </w:rPr>
        <w:t>科目</w:t>
      </w:r>
      <w:r>
        <w:rPr>
          <w:rFonts w:hint="eastAsia" w:ascii="仿宋" w:hAnsi="仿宋" w:eastAsia="仿宋" w:cs="仿宋"/>
          <w:b w:val="0"/>
          <w:bCs/>
          <w:snapToGrid w:val="0"/>
          <w:color w:val="000000"/>
          <w:spacing w:val="8"/>
          <w:kern w:val="0"/>
          <w:sz w:val="31"/>
          <w:szCs w:val="31"/>
          <w:lang w:val="en-US" w:eastAsia="zh-CN" w:bidi="ar-SA"/>
        </w:rPr>
        <w:t>：口腔基础医学概要、口腔固定修复工艺技术、可摘局部义齿修复工艺技术。</w:t>
      </w:r>
    </w:p>
    <w:p w14:paraId="4686DDBB">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cs="仿宋"/>
          <w:b w:val="0"/>
          <w:bCs/>
          <w:snapToGrid w:val="0"/>
          <w:color w:val="000000"/>
          <w:spacing w:val="8"/>
          <w:kern w:val="0"/>
          <w:sz w:val="31"/>
          <w:szCs w:val="31"/>
          <w:lang w:val="en-US" w:eastAsia="zh-CN" w:bidi="ar-SA"/>
        </w:rPr>
        <w:t>7.</w:t>
      </w:r>
      <w:r>
        <w:rPr>
          <w:rFonts w:hint="eastAsia" w:ascii="仿宋" w:hAnsi="仿宋" w:eastAsia="仿宋" w:cs="仿宋"/>
          <w:b w:val="0"/>
          <w:bCs/>
          <w:snapToGrid w:val="0"/>
          <w:color w:val="000000"/>
          <w:spacing w:val="8"/>
          <w:kern w:val="0"/>
          <w:sz w:val="31"/>
          <w:szCs w:val="31"/>
          <w:lang w:val="en-US" w:eastAsia="zh-CN" w:bidi="ar-SA"/>
        </w:rPr>
        <w:t>除以上学习评价说明外，三段进阶式人才培养者在“0.5”阶段采用的学习评价方式具体如下：</w:t>
      </w:r>
    </w:p>
    <w:p w14:paraId="660E6003">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①过程性评价：通过实训操作记录、项目参与度、小组协作表现等多维度跟踪学生学习过程。企业导师与校内教师共同监督学生在仿真模拟、数字化修复体设计、义齿制作等实训中的操作规范性、问题解决能力，结合操作日志、阶段性汇报进行评分，及时反馈改进方向。</w:t>
      </w:r>
    </w:p>
    <w:p w14:paraId="19B43DCD">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②结果性评价：以完成综合性实训项目的质量作为核心考核指标，例如要求学生独立完成复杂可摘局部义齿的设计与制作，或运用数字化技术完成全口义齿修复方案，由校企联合组成的评审组，从修复体精度、设计合理性、技术创新性等方面进行量化打分，并参照企业生产标准评估成果质量。</w:t>
      </w:r>
    </w:p>
    <w:p w14:paraId="6E15E376">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③0.5阶段学生的期末成绩（《口腔固定修复工艺技术》《可摘局部义齿修复工艺技术》《口腔数字化技术》《口腔</w:t>
      </w:r>
      <w:r>
        <w:rPr>
          <w:rFonts w:hint="eastAsia" w:cs="仿宋"/>
          <w:b w:val="0"/>
          <w:bCs/>
          <w:snapToGrid w:val="0"/>
          <w:color w:val="000000"/>
          <w:spacing w:val="8"/>
          <w:kern w:val="0"/>
          <w:sz w:val="31"/>
          <w:szCs w:val="31"/>
          <w:lang w:val="en-US" w:eastAsia="zh-CN" w:bidi="ar-SA"/>
        </w:rPr>
        <w:t>设备</w:t>
      </w:r>
      <w:r>
        <w:rPr>
          <w:rFonts w:hint="eastAsia" w:ascii="仿宋" w:hAnsi="仿宋" w:eastAsia="仿宋" w:cs="仿宋"/>
          <w:b w:val="0"/>
          <w:bCs/>
          <w:snapToGrid w:val="0"/>
          <w:color w:val="000000"/>
          <w:spacing w:val="8"/>
          <w:kern w:val="0"/>
          <w:sz w:val="31"/>
          <w:szCs w:val="31"/>
          <w:lang w:val="en-US" w:eastAsia="zh-CN" w:bidi="ar-SA"/>
        </w:rPr>
        <w:t>学》</w:t>
      </w:r>
      <w:r>
        <w:rPr>
          <w:rFonts w:hint="eastAsia" w:cs="仿宋"/>
          <w:b w:val="0"/>
          <w:bCs/>
          <w:snapToGrid w:val="0"/>
          <w:color w:val="000000"/>
          <w:spacing w:val="8"/>
          <w:kern w:val="0"/>
          <w:sz w:val="31"/>
          <w:szCs w:val="31"/>
          <w:lang w:val="en-US" w:eastAsia="zh-CN" w:bidi="ar-SA"/>
        </w:rPr>
        <w:t>《</w:t>
      </w:r>
      <w:r>
        <w:rPr>
          <w:rFonts w:hint="eastAsia" w:ascii="仿宋" w:hAnsi="仿宋" w:eastAsia="仿宋" w:cs="仿宋"/>
          <w:b w:val="0"/>
          <w:bCs/>
          <w:snapToGrid w:val="0"/>
          <w:color w:val="000000"/>
          <w:spacing w:val="8"/>
          <w:kern w:val="0"/>
          <w:sz w:val="31"/>
          <w:szCs w:val="31"/>
          <w:lang w:val="en-US" w:eastAsia="zh-CN" w:bidi="ar-SA"/>
        </w:rPr>
        <w:t>岗前技能综合实训</w:t>
      </w:r>
      <w:r>
        <w:rPr>
          <w:rFonts w:hint="eastAsia" w:cs="仿宋"/>
          <w:b w:val="0"/>
          <w:bCs/>
          <w:snapToGrid w:val="0"/>
          <w:color w:val="000000"/>
          <w:spacing w:val="8"/>
          <w:kern w:val="0"/>
          <w:sz w:val="31"/>
          <w:szCs w:val="31"/>
          <w:lang w:val="en-US" w:eastAsia="zh-CN" w:bidi="ar-SA"/>
        </w:rPr>
        <w:t>》</w:t>
      </w:r>
      <w:r>
        <w:rPr>
          <w:rFonts w:hint="eastAsia" w:ascii="仿宋" w:hAnsi="仿宋" w:eastAsia="仿宋" w:cs="仿宋"/>
          <w:b w:val="0"/>
          <w:bCs/>
          <w:snapToGrid w:val="0"/>
          <w:color w:val="000000"/>
          <w:spacing w:val="8"/>
          <w:kern w:val="0"/>
          <w:sz w:val="31"/>
          <w:szCs w:val="31"/>
          <w:lang w:val="en-US" w:eastAsia="zh-CN" w:bidi="ar-SA"/>
        </w:rPr>
        <w:t>）由企业教师进行评分。</w:t>
      </w:r>
    </w:p>
    <w:p w14:paraId="3C62D859">
      <w:pPr>
        <w:pStyle w:val="3"/>
        <w:keepNext/>
        <w:keepLines/>
        <w:pageBreakBefore w:val="0"/>
        <w:widowControl/>
        <w:kinsoku/>
        <w:wordWrap/>
        <w:overflowPunct/>
        <w:topLinePunct w:val="0"/>
        <w:autoSpaceDE w:val="0"/>
        <w:autoSpaceDN w:val="0"/>
        <w:bidi w:val="0"/>
        <w:adjustRightInd w:val="0"/>
        <w:snapToGrid w:val="0"/>
        <w:spacing w:before="0" w:beforeLines="50" w:after="0" w:line="240" w:lineRule="auto"/>
        <w:textAlignment w:val="baseline"/>
        <w:rPr>
          <w:rFonts w:hint="eastAsia"/>
          <w:lang w:val="en-US" w:eastAsia="zh-CN"/>
        </w:rPr>
      </w:pPr>
      <w:bookmarkStart w:id="48" w:name="_Toc13079"/>
      <w:bookmarkStart w:id="49" w:name="_Toc22344"/>
      <w:r>
        <w:rPr>
          <w:rFonts w:hint="eastAsia"/>
          <w:lang w:val="en-US" w:eastAsia="zh-CN"/>
        </w:rPr>
        <w:t>（六）质量管理</w:t>
      </w:r>
      <w:bookmarkEnd w:id="48"/>
      <w:bookmarkEnd w:id="49"/>
    </w:p>
    <w:p w14:paraId="15A5A561">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1.学校和二级</w:t>
      </w:r>
      <w:r>
        <w:rPr>
          <w:rFonts w:hint="eastAsia" w:cs="仿宋"/>
          <w:b w:val="0"/>
          <w:bCs/>
          <w:snapToGrid w:val="0"/>
          <w:color w:val="000000"/>
          <w:spacing w:val="8"/>
          <w:kern w:val="0"/>
          <w:sz w:val="31"/>
          <w:szCs w:val="31"/>
          <w:lang w:val="en-US" w:eastAsia="zh-CN" w:bidi="ar-SA"/>
        </w:rPr>
        <w:t>学院</w:t>
      </w:r>
      <w:r>
        <w:rPr>
          <w:rFonts w:hint="eastAsia" w:ascii="仿宋" w:hAnsi="仿宋" w:eastAsia="仿宋" w:cs="仿宋"/>
          <w:b w:val="0"/>
          <w:bCs/>
          <w:snapToGrid w:val="0"/>
          <w:color w:val="000000"/>
          <w:spacing w:val="8"/>
          <w:kern w:val="0"/>
          <w:sz w:val="31"/>
          <w:szCs w:val="31"/>
          <w:lang w:val="en-US" w:eastAsia="zh-CN" w:bidi="ar-SA"/>
        </w:rPr>
        <w:t>建立专业建设和教学质量诊断与改进机制，健全专业教学质量监控管理制度，完善课堂教学、教学评价、实习实训、毕业设计以及专业调研、人才培养方案更新、资源库建设等方面质量标准建设，通过教学实施、过程监控、质量评价和持续改进，达成人才培养规格。</w:t>
      </w:r>
    </w:p>
    <w:p w14:paraId="72E92EE2">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2.学校和二级</w:t>
      </w:r>
      <w:r>
        <w:rPr>
          <w:rFonts w:hint="eastAsia" w:cs="仿宋"/>
          <w:b w:val="0"/>
          <w:bCs/>
          <w:snapToGrid w:val="0"/>
          <w:color w:val="000000"/>
          <w:spacing w:val="8"/>
          <w:kern w:val="0"/>
          <w:sz w:val="31"/>
          <w:szCs w:val="31"/>
          <w:lang w:val="en-US" w:eastAsia="zh-CN" w:bidi="ar-SA"/>
        </w:rPr>
        <w:t>学院</w:t>
      </w:r>
      <w:r>
        <w:rPr>
          <w:rFonts w:hint="eastAsia" w:ascii="仿宋" w:hAnsi="仿宋" w:eastAsia="仿宋" w:cs="仿宋"/>
          <w:b w:val="0"/>
          <w:bCs/>
          <w:snapToGrid w:val="0"/>
          <w:color w:val="000000"/>
          <w:spacing w:val="8"/>
          <w:kern w:val="0"/>
          <w:sz w:val="31"/>
          <w:szCs w:val="31"/>
          <w:lang w:val="en-US" w:eastAsia="zh-CN" w:bidi="ar-SA"/>
        </w:rPr>
        <w:t>完善教学管理机制，加强日常教学组织运行与管理，定期开展课程建设水平和教学质量诊断与改进，建立健全巡课、听课、评课、评学等制度，建立与医疗机构联动的实践教学环节督导制度，严明教学纪律，强化教学组织功能，定期开展公开课、示范课等教研活动。</w:t>
      </w:r>
    </w:p>
    <w:p w14:paraId="0A619E01">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3.学校应建立毕业生跟踪反馈机制及社会评价机制，并对生源情况、在校生学业水平、毕业生就业情况等进行分析，定期评价人才培养质量和培养目标达成情况。</w:t>
      </w:r>
    </w:p>
    <w:p w14:paraId="0E04A746">
      <w:pPr>
        <w:pStyle w:val="4"/>
        <w:keepNext w:val="0"/>
        <w:keepLines w:val="0"/>
        <w:pageBreakBefore w:val="0"/>
        <w:widowControl/>
        <w:kinsoku/>
        <w:wordWrap/>
        <w:overflowPunct/>
        <w:topLinePunct w:val="0"/>
        <w:autoSpaceDE w:val="0"/>
        <w:autoSpaceDN w:val="0"/>
        <w:bidi w:val="0"/>
        <w:adjustRightInd w:val="0"/>
        <w:snapToGrid w:val="0"/>
        <w:spacing w:line="240" w:lineRule="auto"/>
        <w:ind w:left="102" w:right="119" w:firstLine="629"/>
        <w:jc w:val="both"/>
        <w:textAlignment w:val="baseline"/>
        <w:rPr>
          <w:rFonts w:hint="eastAsia" w:ascii="仿宋" w:hAnsi="仿宋" w:eastAsia="仿宋" w:cs="仿宋"/>
          <w:b w:val="0"/>
          <w:bCs/>
          <w:snapToGrid w:val="0"/>
          <w:color w:val="000000"/>
          <w:spacing w:val="8"/>
          <w:kern w:val="0"/>
          <w:sz w:val="31"/>
          <w:szCs w:val="31"/>
          <w:lang w:val="en-US" w:eastAsia="zh-CN" w:bidi="ar-SA"/>
        </w:rPr>
      </w:pPr>
      <w:r>
        <w:rPr>
          <w:rFonts w:hint="eastAsia" w:ascii="仿宋" w:hAnsi="仿宋" w:eastAsia="仿宋" w:cs="仿宋"/>
          <w:b w:val="0"/>
          <w:bCs/>
          <w:snapToGrid w:val="0"/>
          <w:color w:val="000000"/>
          <w:spacing w:val="8"/>
          <w:kern w:val="0"/>
          <w:sz w:val="31"/>
          <w:szCs w:val="31"/>
          <w:lang w:val="en-US" w:eastAsia="zh-CN" w:bidi="ar-SA"/>
        </w:rPr>
        <w:t>4.系部教研室应充分利用教学团队，进行课程建设。根据人才培养方案落实专业课程标准，每学期选聘合格的教师承担教学任务；利用信息化教学平台，建设2～3门优质在线开放课程。</w:t>
      </w:r>
    </w:p>
    <w:p w14:paraId="09D474EE">
      <w:pPr>
        <w:pStyle w:val="2"/>
        <w:bidi w:val="0"/>
      </w:pPr>
      <w:bookmarkStart w:id="50" w:name="_Toc15049"/>
      <w:bookmarkStart w:id="51" w:name="_Toc23753"/>
      <w:r>
        <w:t>九、毕业要求</w:t>
      </w:r>
      <w:bookmarkEnd w:id="50"/>
      <w:bookmarkEnd w:id="51"/>
    </w:p>
    <w:p w14:paraId="358B5BC6">
      <w:pPr>
        <w:pStyle w:val="4"/>
        <w:keepNext w:val="0"/>
        <w:keepLines w:val="0"/>
        <w:pageBreakBefore w:val="0"/>
        <w:widowControl/>
        <w:kinsoku w:val="0"/>
        <w:wordWrap/>
        <w:overflowPunct/>
        <w:topLinePunct w:val="0"/>
        <w:autoSpaceDE w:val="0"/>
        <w:autoSpaceDN w:val="0"/>
        <w:bidi w:val="0"/>
        <w:adjustRightInd w:val="0"/>
        <w:snapToGrid w:val="0"/>
        <w:spacing w:line="240" w:lineRule="auto"/>
        <w:ind w:firstLine="700" w:firstLineChars="200"/>
        <w:textAlignment w:val="baseline"/>
        <w:rPr>
          <w:rFonts w:hint="eastAsia"/>
          <w:b w:val="0"/>
          <w:bCs/>
          <w:spacing w:val="8"/>
          <w:lang w:eastAsia="zh-CN"/>
        </w:rPr>
      </w:pPr>
      <w:r>
        <w:rPr>
          <w:b w:val="0"/>
          <w:bCs/>
          <w:spacing w:val="20"/>
        </w:rPr>
        <w:t>1.</w:t>
      </w:r>
      <w:r>
        <w:rPr>
          <w:rFonts w:hint="eastAsia"/>
          <w:b w:val="0"/>
          <w:bCs/>
          <w:spacing w:val="6"/>
          <w:lang w:val="en-US" w:eastAsia="zh-CN"/>
        </w:rPr>
        <w:t>根据专业人才培养方案确定的培养目标和培养规格，完成规定的</w:t>
      </w:r>
      <w:r>
        <w:rPr>
          <w:b w:val="0"/>
          <w:bCs/>
          <w:spacing w:val="20"/>
        </w:rPr>
        <w:t>所有课程</w:t>
      </w:r>
      <w:r>
        <w:rPr>
          <w:rFonts w:hint="eastAsia"/>
          <w:b w:val="0"/>
          <w:bCs/>
          <w:spacing w:val="20"/>
          <w:lang w:val="en-US" w:eastAsia="zh-CN"/>
        </w:rPr>
        <w:t>和实践项目，</w:t>
      </w:r>
      <w:r>
        <w:rPr>
          <w:b w:val="0"/>
          <w:bCs/>
          <w:spacing w:val="20"/>
        </w:rPr>
        <w:t>成绩合</w:t>
      </w:r>
      <w:r>
        <w:rPr>
          <w:b w:val="0"/>
          <w:bCs/>
          <w:spacing w:val="8"/>
        </w:rPr>
        <w:t>格</w:t>
      </w:r>
      <w:r>
        <w:rPr>
          <w:rFonts w:hint="eastAsia"/>
          <w:b w:val="0"/>
          <w:bCs/>
          <w:spacing w:val="8"/>
          <w:lang w:eastAsia="zh-CN"/>
        </w:rPr>
        <w:t>；</w:t>
      </w:r>
    </w:p>
    <w:p w14:paraId="15712286">
      <w:pPr>
        <w:pStyle w:val="4"/>
        <w:keepNext w:val="0"/>
        <w:keepLines w:val="0"/>
        <w:pageBreakBefore w:val="0"/>
        <w:widowControl/>
        <w:kinsoku w:val="0"/>
        <w:wordWrap/>
        <w:overflowPunct/>
        <w:topLinePunct w:val="0"/>
        <w:autoSpaceDE w:val="0"/>
        <w:autoSpaceDN w:val="0"/>
        <w:bidi w:val="0"/>
        <w:adjustRightInd w:val="0"/>
        <w:snapToGrid w:val="0"/>
        <w:spacing w:line="240" w:lineRule="auto"/>
        <w:ind w:firstLine="652" w:firstLineChars="200"/>
        <w:textAlignment w:val="baseline"/>
        <w:rPr>
          <w:rFonts w:hint="eastAsia"/>
          <w:b w:val="0"/>
          <w:bCs/>
          <w:spacing w:val="6"/>
          <w:lang w:val="en-US" w:eastAsia="zh-CN"/>
        </w:rPr>
      </w:pPr>
      <w:r>
        <w:rPr>
          <w:rFonts w:hint="eastAsia"/>
          <w:b w:val="0"/>
          <w:bCs/>
          <w:spacing w:val="8"/>
          <w:lang w:val="en-US" w:eastAsia="zh-CN"/>
        </w:rPr>
        <w:t>2.</w:t>
      </w:r>
      <w:r>
        <w:rPr>
          <w:rFonts w:hint="eastAsia"/>
          <w:b w:val="0"/>
          <w:bCs/>
          <w:spacing w:val="8"/>
        </w:rPr>
        <w:t>完成毕业实习实践活动任务，考核合格</w:t>
      </w:r>
      <w:r>
        <w:rPr>
          <w:rFonts w:hint="eastAsia"/>
          <w:b w:val="0"/>
          <w:bCs/>
          <w:spacing w:val="8"/>
          <w:lang w:val="en-US" w:eastAsia="zh-CN"/>
        </w:rPr>
        <w:t>；</w:t>
      </w:r>
      <w:r>
        <w:rPr>
          <w:rFonts w:hint="eastAsia"/>
          <w:b w:val="0"/>
          <w:bCs/>
          <w:spacing w:val="6"/>
          <w:lang w:val="en-US" w:eastAsia="zh-CN"/>
        </w:rPr>
        <w:t xml:space="preserve"> </w:t>
      </w:r>
    </w:p>
    <w:p w14:paraId="25AC947D">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671" w:hanging="2"/>
        <w:textAlignment w:val="baseline"/>
        <w:rPr>
          <w:b w:val="0"/>
          <w:bCs/>
        </w:rPr>
      </w:pPr>
      <w:r>
        <w:rPr>
          <w:rFonts w:hint="eastAsia"/>
          <w:b w:val="0"/>
          <w:bCs/>
          <w:spacing w:val="6"/>
          <w:lang w:val="en-US" w:eastAsia="zh-CN"/>
        </w:rPr>
        <w:t>3.</w:t>
      </w:r>
      <w:r>
        <w:rPr>
          <w:b w:val="0"/>
          <w:bCs/>
          <w:spacing w:val="6"/>
        </w:rPr>
        <w:t>毕业考试成绩合格；</w:t>
      </w:r>
    </w:p>
    <w:p w14:paraId="583BCCF9">
      <w:pPr>
        <w:pStyle w:val="4"/>
        <w:keepNext w:val="0"/>
        <w:keepLines w:val="0"/>
        <w:pageBreakBefore w:val="0"/>
        <w:widowControl/>
        <w:kinsoku w:val="0"/>
        <w:wordWrap/>
        <w:overflowPunct/>
        <w:topLinePunct w:val="0"/>
        <w:autoSpaceDE w:val="0"/>
        <w:autoSpaceDN w:val="0"/>
        <w:bidi w:val="0"/>
        <w:adjustRightInd w:val="0"/>
        <w:snapToGrid w:val="0"/>
        <w:spacing w:line="240" w:lineRule="auto"/>
        <w:ind w:left="664"/>
        <w:textAlignment w:val="baseline"/>
        <w:rPr>
          <w:rFonts w:hint="eastAsia" w:eastAsia="仿宋"/>
          <w:b w:val="0"/>
          <w:bCs/>
          <w:lang w:eastAsia="zh-CN"/>
        </w:rPr>
      </w:pPr>
      <w:r>
        <w:rPr>
          <w:rFonts w:hint="eastAsia"/>
          <w:b w:val="0"/>
          <w:bCs/>
          <w:spacing w:val="7"/>
          <w:lang w:val="en-US" w:eastAsia="zh-CN"/>
        </w:rPr>
        <w:t>4</w:t>
      </w:r>
      <w:r>
        <w:rPr>
          <w:b w:val="0"/>
          <w:bCs/>
          <w:spacing w:val="7"/>
        </w:rPr>
        <w:t>.德、智、体诸方面审核合格</w:t>
      </w:r>
      <w:r>
        <w:rPr>
          <w:rFonts w:hint="eastAsia"/>
          <w:b w:val="0"/>
          <w:bCs/>
          <w:spacing w:val="7"/>
          <w:lang w:eastAsia="zh-CN"/>
        </w:rPr>
        <w:t>。</w:t>
      </w:r>
    </w:p>
    <w:p w14:paraId="32EFD1AF">
      <w:pPr>
        <w:pStyle w:val="2"/>
        <w:bidi w:val="0"/>
      </w:pPr>
      <w:bookmarkStart w:id="52" w:name="_Toc30778"/>
      <w:bookmarkStart w:id="53" w:name="_Toc20084"/>
      <w:r>
        <w:t>十、附录</w:t>
      </w:r>
      <w:bookmarkEnd w:id="52"/>
      <w:bookmarkEnd w:id="53"/>
    </w:p>
    <w:p w14:paraId="10539B4E">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eastAsia" w:ascii="Times New Roman" w:hAnsi="Times New Roman" w:cs="Times New Roman"/>
          <w:b w:val="0"/>
          <w:color w:val="auto"/>
          <w:sz w:val="31"/>
          <w:szCs w:val="31"/>
          <w:lang w:val="en-US" w:eastAsia="zh-CN"/>
        </w:rPr>
        <w:t>（一）</w:t>
      </w:r>
      <w:r>
        <w:rPr>
          <w:rFonts w:hint="default" w:ascii="Times New Roman" w:hAnsi="Times New Roman" w:cs="Times New Roman"/>
          <w:b w:val="0"/>
          <w:color w:val="auto"/>
          <w:sz w:val="31"/>
          <w:szCs w:val="31"/>
          <w:lang w:val="en-US" w:eastAsia="zh-CN"/>
        </w:rPr>
        <w:t>口腔美学修复与微距摄影</w:t>
      </w:r>
      <w:r>
        <w:rPr>
          <w:rFonts w:hint="default" w:ascii="Times New Roman" w:hAnsi="Times New Roman" w:cs="Times New Roman"/>
          <w:b w:val="0"/>
          <w:color w:val="auto"/>
          <w:sz w:val="31"/>
          <w:szCs w:val="31"/>
          <w:lang w:val="en-US" w:eastAsia="en-US"/>
        </w:rPr>
        <w:t>微专业</w:t>
      </w:r>
      <w:r>
        <w:rPr>
          <w:rFonts w:hint="default" w:ascii="Times New Roman" w:hAnsi="Times New Roman" w:cs="Times New Roman"/>
          <w:b w:val="0"/>
          <w:color w:val="auto"/>
          <w:sz w:val="31"/>
          <w:szCs w:val="31"/>
          <w:lang w:val="en-US" w:eastAsia="zh-CN"/>
        </w:rPr>
        <w:t>介绍</w:t>
      </w:r>
    </w:p>
    <w:p w14:paraId="34FF3528">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eastAsia" w:ascii="Times New Roman" w:hAnsi="Times New Roman" w:cs="Times New Roman"/>
          <w:b w:val="0"/>
          <w:color w:val="auto"/>
          <w:sz w:val="31"/>
          <w:szCs w:val="31"/>
          <w:lang w:val="en-US" w:eastAsia="zh-CN"/>
        </w:rPr>
        <w:t>1.</w:t>
      </w:r>
      <w:r>
        <w:rPr>
          <w:rFonts w:hint="default" w:ascii="Times New Roman" w:hAnsi="Times New Roman" w:cs="Times New Roman"/>
          <w:b w:val="0"/>
          <w:color w:val="auto"/>
          <w:sz w:val="31"/>
          <w:szCs w:val="31"/>
          <w:lang w:val="en-US" w:eastAsia="zh-CN"/>
        </w:rPr>
        <w:t>培养目标与岗位定位</w:t>
      </w:r>
    </w:p>
    <w:p w14:paraId="32C9BBC2">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eastAsia" w:ascii="Times New Roman" w:hAnsi="Times New Roman" w:cs="Times New Roman"/>
          <w:b w:val="0"/>
          <w:color w:val="auto"/>
          <w:sz w:val="31"/>
          <w:szCs w:val="31"/>
          <w:lang w:val="en-US" w:eastAsia="zh-CN"/>
        </w:rPr>
        <w:t>（1）</w:t>
      </w:r>
      <w:r>
        <w:rPr>
          <w:rFonts w:hint="default" w:ascii="Times New Roman" w:hAnsi="Times New Roman" w:cs="Times New Roman"/>
          <w:b w:val="0"/>
          <w:color w:val="auto"/>
          <w:sz w:val="31"/>
          <w:szCs w:val="31"/>
          <w:lang w:val="en-US" w:eastAsia="zh-CN"/>
        </w:rPr>
        <w:t>培养目标</w:t>
      </w:r>
    </w:p>
    <w:p w14:paraId="1D9AD2CD">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本微专业面向口腔医疗行业，依托口腔医学、口腔医学技术专业办学基础，培养德技并修、综合素质优良，系统掌握口腔美学修复理论知识与实操技法，熟练运用口腔微距摄影设备完成临床影像采集、后期处理与病例归档，具备口腔美学修复全流程作业、数字化影像记录及病例应用能力的专科层次复合型技术技能人才。学生结业后可独立处理口腔美学修复基础临床问题，契合行业数字化、美学化发展需求，能够胜任口腔美学修复与口腔医疗影像相关岗位工作。</w:t>
      </w:r>
    </w:p>
    <w:p w14:paraId="26C68E0B">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w:t>
      </w:r>
      <w:r>
        <w:rPr>
          <w:rFonts w:hint="eastAsia" w:ascii="Times New Roman" w:hAnsi="Times New Roman" w:cs="Times New Roman"/>
          <w:b w:val="0"/>
          <w:color w:val="auto"/>
          <w:sz w:val="31"/>
          <w:szCs w:val="31"/>
          <w:lang w:val="en-US" w:eastAsia="zh-CN"/>
        </w:rPr>
        <w:t>2</w:t>
      </w:r>
      <w:r>
        <w:rPr>
          <w:rFonts w:hint="default" w:ascii="Times New Roman" w:hAnsi="Times New Roman" w:cs="Times New Roman"/>
          <w:b w:val="0"/>
          <w:color w:val="auto"/>
          <w:sz w:val="31"/>
          <w:szCs w:val="31"/>
          <w:lang w:val="en-US" w:eastAsia="zh-CN"/>
        </w:rPr>
        <w:t>）岗位定位</w:t>
      </w:r>
    </w:p>
    <w:p w14:paraId="7A98E220">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本微专业主要面向各级口腔医疗机构、高端口腔门诊、口腔义齿加工企业等单位，对应核心岗位为口腔美学修复技师、口腔临床修复专员、义齿美学设计专员等。毕业生可就职于口腔医疗机构修复科、椅旁义齿修复中心、义齿企业设计部，从事牙体美学修复、修复前后影像采集、病例数字化留存、学术交流影像制作等相关工作。</w:t>
      </w:r>
    </w:p>
    <w:p w14:paraId="77A526FD">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eastAsia" w:ascii="Times New Roman" w:hAnsi="Times New Roman" w:cs="Times New Roman"/>
          <w:b w:val="0"/>
          <w:color w:val="auto"/>
          <w:sz w:val="31"/>
          <w:szCs w:val="31"/>
          <w:lang w:val="en-US" w:eastAsia="zh-CN"/>
        </w:rPr>
        <w:t>2.</w:t>
      </w:r>
      <w:r>
        <w:rPr>
          <w:rFonts w:hint="default" w:ascii="Times New Roman" w:hAnsi="Times New Roman" w:cs="Times New Roman"/>
          <w:b w:val="0"/>
          <w:color w:val="auto"/>
          <w:sz w:val="31"/>
          <w:szCs w:val="31"/>
          <w:lang w:val="en-US" w:eastAsia="zh-CN"/>
        </w:rPr>
        <w:t>核心能力要求</w:t>
      </w:r>
    </w:p>
    <w:p w14:paraId="09868064">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专业理论能力：掌握口腔美学基本原理、牙体美学解剖知识，熟知口腔美学修复设计思路与行业技术规范。</w:t>
      </w:r>
    </w:p>
    <w:p w14:paraId="5971BF96">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美学修复实操能力：熟练完成前牙美学修复蜡型堆塑、牙体形态美学塑造，具备常规牙体美学修复基础操作能力。</w:t>
      </w:r>
    </w:p>
    <w:p w14:paraId="3F98BD83">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微距摄影与影像处理能力：能够规范操作口腔微距摄影设备，精准完成口内影像取景、拍摄，熟练开展影像后期修图、整理与归档。</w:t>
      </w:r>
    </w:p>
    <w:p w14:paraId="63DF34FE">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综合应用能力：可结合美学修复技术与影像技能完成完整临床病例实操、效果评估与病例展示，具备岗位适配的临床思维与实操应变能力。</w:t>
      </w:r>
    </w:p>
    <w:p w14:paraId="587FEA31">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职业素养能力：恪守医疗行业职业道德与操作规范，具备良好的沟通协作、岗位适应与持续学习能力。</w:t>
      </w:r>
    </w:p>
    <w:p w14:paraId="5BD6DFAC">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eastAsia" w:ascii="Times New Roman" w:hAnsi="Times New Roman" w:cs="Times New Roman"/>
          <w:b w:val="0"/>
          <w:color w:val="auto"/>
          <w:sz w:val="31"/>
          <w:szCs w:val="31"/>
          <w:lang w:val="en-US" w:eastAsia="zh-CN"/>
        </w:rPr>
        <w:t>3.</w:t>
      </w:r>
      <w:r>
        <w:rPr>
          <w:rFonts w:hint="default" w:ascii="Times New Roman" w:hAnsi="Times New Roman" w:cs="Times New Roman"/>
          <w:b w:val="0"/>
          <w:color w:val="auto"/>
          <w:sz w:val="31"/>
          <w:szCs w:val="31"/>
          <w:lang w:val="en-US" w:eastAsia="zh-CN"/>
        </w:rPr>
        <w:t>主要课程设置</w:t>
      </w:r>
    </w:p>
    <w:p w14:paraId="6073A0A9">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本微专业采用基础+核心+实操+综合应用递进式课程体系，共设置4门核心课程，实行理实一体化教学，课程设置紧密对接岗位实际需求。</w:t>
      </w:r>
    </w:p>
    <w:p w14:paraId="1B80D9AD">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《口腔美学修复基础》：共计12学时，讲授口腔美学原理、牙体美学解剖等基础理论，结合临床典型美学案例开展分析讲解，搭建专业理论框架，为实操课程奠定基础。</w:t>
      </w:r>
    </w:p>
    <w:p w14:paraId="42EBC371">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《前牙美学修复蜡型堆塑》：共计12学时，核心实操课程，重点训练美学蜡型堆塑、牙体形态美学设计等专业技法，强化实操精度与标准化操作能力。</w:t>
      </w:r>
    </w:p>
    <w:p w14:paraId="75E75E37">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《口腔微距摄影技法》：共计12学时，讲解微距摄影设备操作、口内临床拍摄技巧、影像后期处理方法，侧重训练口腔场景精准拍摄与影像优化技能。</w:t>
      </w:r>
    </w:p>
    <w:p w14:paraId="0997C26F">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《口腔美学修复病例影像综合应用》：共计12学时，融合前期所学知识与技能，开展病例方案设计、全程影像采集、修复效果评估等综合实训，提升岗位综合应用能力。</w:t>
      </w:r>
    </w:p>
    <w:p w14:paraId="39AFD341">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eastAsia" w:ascii="Times New Roman" w:hAnsi="Times New Roman" w:cs="Times New Roman"/>
          <w:b w:val="0"/>
          <w:color w:val="auto"/>
          <w:sz w:val="31"/>
          <w:szCs w:val="31"/>
          <w:lang w:val="en-US" w:eastAsia="zh-CN"/>
        </w:rPr>
        <w:t>4.</w:t>
      </w:r>
      <w:r>
        <w:rPr>
          <w:rFonts w:hint="default" w:ascii="Times New Roman" w:hAnsi="Times New Roman" w:cs="Times New Roman"/>
          <w:b w:val="0"/>
          <w:color w:val="auto"/>
          <w:sz w:val="31"/>
          <w:szCs w:val="31"/>
          <w:lang w:val="en-US" w:eastAsia="zh-CN"/>
        </w:rPr>
        <w:t>学时说明</w:t>
      </w:r>
    </w:p>
    <w:p w14:paraId="383E243E">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本微专业总学分4分，总学时48学时，四门课程各分配12学时。全部课程均采用理实一体化教学模式，实操教学占比70%。教学依托校内仿真模拟实训室、修复工艺实训室开展基础技能训练，并结合校外合作医疗机构、义齿企业开展临床见习与岗位实训，校内校外教学场景联动，保障教学实效。</w:t>
      </w:r>
    </w:p>
    <w:p w14:paraId="1182F1C1">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eastAsia" w:ascii="Times New Roman" w:hAnsi="Times New Roman" w:cs="Times New Roman"/>
          <w:b w:val="0"/>
          <w:color w:val="auto"/>
          <w:sz w:val="31"/>
          <w:szCs w:val="31"/>
          <w:lang w:val="en-US" w:eastAsia="zh-CN"/>
        </w:rPr>
        <w:t>（二）</w:t>
      </w:r>
      <w:r>
        <w:rPr>
          <w:rFonts w:hint="default" w:ascii="Times New Roman" w:hAnsi="Times New Roman" w:cs="Times New Roman"/>
          <w:b w:val="0"/>
          <w:color w:val="auto"/>
          <w:sz w:val="31"/>
          <w:szCs w:val="31"/>
          <w:lang w:val="en-US" w:eastAsia="zh-CN"/>
        </w:rPr>
        <w:t>口腔椅旁数字化修复技术微专业介绍</w:t>
      </w:r>
    </w:p>
    <w:p w14:paraId="68D43BF6">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eastAsia" w:ascii="Times New Roman" w:hAnsi="Times New Roman" w:cs="Times New Roman"/>
          <w:b w:val="0"/>
          <w:color w:val="auto"/>
          <w:sz w:val="31"/>
          <w:szCs w:val="31"/>
          <w:lang w:val="en-US" w:eastAsia="zh-CN"/>
        </w:rPr>
        <w:t>1.</w:t>
      </w:r>
      <w:r>
        <w:rPr>
          <w:rFonts w:hint="default" w:ascii="Times New Roman" w:hAnsi="Times New Roman" w:cs="Times New Roman"/>
          <w:b w:val="0"/>
          <w:color w:val="auto"/>
          <w:sz w:val="31"/>
          <w:szCs w:val="31"/>
          <w:lang w:val="en-US" w:eastAsia="zh-CN"/>
        </w:rPr>
        <w:t>培养目标与岗位定位</w:t>
      </w:r>
    </w:p>
    <w:p w14:paraId="4A90165E">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w:t>
      </w:r>
      <w:r>
        <w:rPr>
          <w:rFonts w:hint="eastAsia" w:ascii="Times New Roman" w:hAnsi="Times New Roman" w:cs="Times New Roman"/>
          <w:b w:val="0"/>
          <w:color w:val="auto"/>
          <w:sz w:val="31"/>
          <w:szCs w:val="31"/>
          <w:lang w:val="en-US" w:eastAsia="zh-CN"/>
        </w:rPr>
        <w:t>1</w:t>
      </w:r>
      <w:r>
        <w:rPr>
          <w:rFonts w:hint="default" w:ascii="Times New Roman" w:hAnsi="Times New Roman" w:cs="Times New Roman"/>
          <w:b w:val="0"/>
          <w:color w:val="auto"/>
          <w:sz w:val="31"/>
          <w:szCs w:val="31"/>
          <w:lang w:val="en-US" w:eastAsia="zh-CN"/>
        </w:rPr>
        <w:t>）培养目标</w:t>
      </w:r>
    </w:p>
    <w:p w14:paraId="7D9F8E50">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本微专业紧扣口腔医疗行业数字化转型发展趋势，面向口腔医学、口腔医学技术专业专科学生开展培养工作。旨在培养德技并修、职业素养良好，掌握口腔数字化修复基础理论与牙体数字化建模相关知识，能够熟练操作口内扫描仪、CAD设计软件、椅旁切削机等专业设备，独立完成单冠、嵌体等修复体椅旁数字化设计、制作与调试，具备口腔</w:t>
      </w:r>
      <w:bookmarkStart w:id="54" w:name="_GoBack"/>
      <w:r>
        <w:rPr>
          <w:rFonts w:hint="default" w:ascii="Times New Roman" w:hAnsi="Times New Roman" w:cs="Times New Roman"/>
          <w:b w:val="0"/>
          <w:color w:val="auto"/>
          <w:sz w:val="31"/>
          <w:szCs w:val="31"/>
          <w:lang w:val="en-US" w:eastAsia="zh-CN"/>
        </w:rPr>
        <w:t>椅旁</w:t>
      </w:r>
      <w:bookmarkEnd w:id="54"/>
      <w:r>
        <w:rPr>
          <w:rFonts w:hint="default" w:ascii="Times New Roman" w:hAnsi="Times New Roman" w:cs="Times New Roman"/>
          <w:b w:val="0"/>
          <w:color w:val="auto"/>
          <w:sz w:val="31"/>
          <w:szCs w:val="31"/>
          <w:lang w:val="en-US" w:eastAsia="zh-CN"/>
        </w:rPr>
        <w:t>数字化修复全流程实操能力及常见问题处置能力的专科层次复合型技术技能人才，满足行业对数字化修复实操人才的用工需求。</w:t>
      </w:r>
    </w:p>
    <w:p w14:paraId="22B379F8">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w:t>
      </w:r>
      <w:r>
        <w:rPr>
          <w:rFonts w:hint="eastAsia" w:ascii="Times New Roman" w:hAnsi="Times New Roman" w:cs="Times New Roman"/>
          <w:b w:val="0"/>
          <w:color w:val="auto"/>
          <w:sz w:val="31"/>
          <w:szCs w:val="31"/>
          <w:lang w:val="en-US" w:eastAsia="zh-CN"/>
        </w:rPr>
        <w:t>2</w:t>
      </w:r>
      <w:r>
        <w:rPr>
          <w:rFonts w:hint="default" w:ascii="Times New Roman" w:hAnsi="Times New Roman" w:cs="Times New Roman"/>
          <w:b w:val="0"/>
          <w:color w:val="auto"/>
          <w:sz w:val="31"/>
          <w:szCs w:val="31"/>
          <w:lang w:val="en-US" w:eastAsia="zh-CN"/>
        </w:rPr>
        <w:t>）岗位定位</w:t>
      </w:r>
    </w:p>
    <w:p w14:paraId="092AA1AF">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本微专业主要面向各级口腔医疗机构、口腔数字化设备企业、义齿加工企业。毕业生可任职于口腔机构修复科、数字化口腔中心，从事椅旁数字化修复操作工作；也可在数字化设备企业承担技术支持、实操培训等岗位工作，或在义齿加工企业从事数字化义齿设计、加工等相关工作。</w:t>
      </w:r>
    </w:p>
    <w:p w14:paraId="65FF2BB8">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eastAsia" w:ascii="Times New Roman" w:hAnsi="Times New Roman" w:cs="Times New Roman"/>
          <w:b w:val="0"/>
          <w:color w:val="auto"/>
          <w:sz w:val="31"/>
          <w:szCs w:val="31"/>
          <w:lang w:val="en-US" w:eastAsia="zh-CN"/>
        </w:rPr>
        <w:t>2.</w:t>
      </w:r>
      <w:r>
        <w:rPr>
          <w:rFonts w:hint="default" w:ascii="Times New Roman" w:hAnsi="Times New Roman" w:cs="Times New Roman"/>
          <w:b w:val="0"/>
          <w:color w:val="auto"/>
          <w:sz w:val="31"/>
          <w:szCs w:val="31"/>
          <w:lang w:val="en-US" w:eastAsia="zh-CN"/>
        </w:rPr>
        <w:t>核心能力要求</w:t>
      </w:r>
    </w:p>
    <w:p w14:paraId="1FF1E0A5">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理论认知能力：掌握口腔数字化修复基本原理、牙体数字化解剖知识，建立标准化数字化修复思维，熟悉行业技术规范与操作准则。</w:t>
      </w:r>
    </w:p>
    <w:p w14:paraId="44405E0D">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设备操作能力：熟练使用口内扫描仪完成口内数据采集、扫描数据优化，精准把控扫描精度与作业效率。</w:t>
      </w:r>
    </w:p>
    <w:p w14:paraId="4E7A1E6C">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数字化设计能力：能够运用 CAD/CAM 设计软件完成修复体数字化建模、形态优化，设计方案贴合临床诊疗要求。</w:t>
      </w:r>
    </w:p>
    <w:p w14:paraId="460CD6EB">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加工与临床适配能力：掌握椅旁切削设备操作方法，完成修复体切削加工、试戴及调改，可独立处理临床实操中的常见问题。</w:t>
      </w:r>
    </w:p>
    <w:p w14:paraId="4DD3988A">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综合职业能力：具备岗位所需的协作能力、问题研判能力与持续学习能力，恪守医疗行业职业道德与安全操作规范。</w:t>
      </w:r>
    </w:p>
    <w:p w14:paraId="1C0A5614">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eastAsia" w:ascii="Times New Roman" w:hAnsi="Times New Roman" w:cs="Times New Roman"/>
          <w:b w:val="0"/>
          <w:color w:val="auto"/>
          <w:sz w:val="31"/>
          <w:szCs w:val="31"/>
          <w:lang w:val="en-US" w:eastAsia="zh-CN"/>
        </w:rPr>
        <w:t>3.</w:t>
      </w:r>
      <w:r>
        <w:rPr>
          <w:rFonts w:hint="default" w:ascii="Times New Roman" w:hAnsi="Times New Roman" w:cs="Times New Roman"/>
          <w:b w:val="0"/>
          <w:color w:val="auto"/>
          <w:sz w:val="31"/>
          <w:szCs w:val="31"/>
          <w:lang w:val="en-US" w:eastAsia="zh-CN"/>
        </w:rPr>
        <w:t>主要课程设置</w:t>
      </w:r>
    </w:p>
    <w:p w14:paraId="04920310">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本微专业依据岗位核心能力要求，搭建基础+设备操作+设计+综合应用阶梯式课程体系，共开设4门课程，采用理实一体化、项目式教学模式，课程内容紧密对接临床岗位实际应用。</w:t>
      </w:r>
    </w:p>
    <w:p w14:paraId="39EB86E2">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《口腔椅旁数字化修复基础》：共计12学时，讲授数字化修复原理、牙体数字化解剖等基础内容，帮助学生构建数字化修复知识框架，奠定理论根基。</w:t>
      </w:r>
    </w:p>
    <w:p w14:paraId="5F8E743B">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《口腔椅旁口内扫描技术》：共计12学时，为核心实操课程，重点训练口内扫描仪规范操作、扫描数据修正等技能，强化实操精准度。</w:t>
      </w:r>
    </w:p>
    <w:p w14:paraId="6A213085">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《口腔修复 CAD/CAM 数字化设计》：共计12学时，学习数字化设计软件操作，开展修复体建模、形态设计实训，提升数字化设计应用能力。</w:t>
      </w:r>
    </w:p>
    <w:p w14:paraId="660518B8">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default" w:ascii="Times New Roman" w:hAnsi="Times New Roman" w:cs="Times New Roman"/>
          <w:b w:val="0"/>
          <w:color w:val="auto"/>
          <w:sz w:val="31"/>
          <w:szCs w:val="31"/>
          <w:lang w:val="en-US" w:eastAsia="zh-CN"/>
        </w:rPr>
        <w:t>《椅旁数字化切削与修复体试戴调改》：共计12学时，融合设备切削加工、修复体临床试戴、形态调改等内容，开展全流程综合实训，强化岗位综合实操能力。</w:t>
      </w:r>
    </w:p>
    <w:p w14:paraId="0B594CE4">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Times New Roman" w:hAnsi="Times New Roman" w:cs="Times New Roman"/>
          <w:b w:val="0"/>
          <w:color w:val="auto"/>
          <w:sz w:val="31"/>
          <w:szCs w:val="31"/>
          <w:lang w:val="en-US" w:eastAsia="zh-CN"/>
        </w:rPr>
      </w:pPr>
      <w:r>
        <w:rPr>
          <w:rFonts w:hint="eastAsia" w:ascii="Times New Roman" w:hAnsi="Times New Roman" w:cs="Times New Roman"/>
          <w:b w:val="0"/>
          <w:color w:val="auto"/>
          <w:sz w:val="31"/>
          <w:szCs w:val="31"/>
          <w:lang w:val="en-US" w:eastAsia="zh-CN"/>
        </w:rPr>
        <w:t>4.</w:t>
      </w:r>
      <w:r>
        <w:rPr>
          <w:rFonts w:hint="default" w:ascii="Times New Roman" w:hAnsi="Times New Roman" w:cs="Times New Roman"/>
          <w:b w:val="0"/>
          <w:color w:val="auto"/>
          <w:sz w:val="31"/>
          <w:szCs w:val="31"/>
          <w:lang w:val="en-US" w:eastAsia="zh-CN"/>
        </w:rPr>
        <w:t>学时说明</w:t>
      </w:r>
    </w:p>
    <w:p w14:paraId="507E765E">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仿宋" w:hAnsi="仿宋" w:eastAsia="仿宋" w:cs="仿宋"/>
          <w:b w:val="0"/>
          <w:bCs/>
          <w:snapToGrid w:val="0"/>
          <w:color w:val="000000"/>
          <w:spacing w:val="8"/>
          <w:kern w:val="0"/>
          <w:sz w:val="31"/>
          <w:szCs w:val="31"/>
          <w:lang w:val="en-US" w:eastAsia="zh-CN" w:bidi="ar-SA"/>
        </w:rPr>
      </w:pPr>
      <w:r>
        <w:rPr>
          <w:rFonts w:hint="default" w:ascii="Times New Roman" w:hAnsi="Times New Roman" w:cs="Times New Roman"/>
          <w:b w:val="0"/>
          <w:color w:val="auto"/>
          <w:sz w:val="31"/>
          <w:szCs w:val="31"/>
          <w:lang w:val="en-US" w:eastAsia="zh-CN"/>
        </w:rPr>
        <w:t>本微专业总学分4分，总学时48学时，四门课程各分配12学时。全部课程实行理实一体化教学，实操教学占比75%。教学依托校内口腔数字化修复实训室开展基础技能训练，同时联合校外合作口腔机构、义齿企业开展临床见习与岗位实训，实现教学与岗位无缝衔接。</w:t>
      </w:r>
    </w:p>
    <w:p w14:paraId="1CFBDE74">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仿宋" w:hAnsi="仿宋" w:eastAsia="仿宋" w:cs="仿宋"/>
          <w:b w:val="0"/>
          <w:bCs/>
          <w:snapToGrid w:val="0"/>
          <w:color w:val="000000"/>
          <w:spacing w:val="8"/>
          <w:kern w:val="0"/>
          <w:sz w:val="31"/>
          <w:szCs w:val="31"/>
          <w:lang w:val="en-US" w:eastAsia="en-US" w:bidi="ar-SA"/>
        </w:rPr>
      </w:pPr>
      <w:r>
        <w:rPr>
          <w:rFonts w:hint="eastAsia" w:ascii="仿宋" w:hAnsi="仿宋" w:eastAsia="仿宋" w:cs="仿宋"/>
          <w:b w:val="0"/>
          <w:bCs/>
          <w:snapToGrid w:val="0"/>
          <w:color w:val="000000"/>
          <w:spacing w:val="8"/>
          <w:kern w:val="0"/>
          <w:sz w:val="31"/>
          <w:szCs w:val="31"/>
          <w:lang w:val="en-US" w:eastAsia="zh-CN" w:bidi="ar-SA"/>
        </w:rPr>
        <w:t>（三）</w:t>
      </w:r>
      <w:r>
        <w:rPr>
          <w:rFonts w:hint="default" w:ascii="仿宋" w:hAnsi="仿宋" w:eastAsia="仿宋" w:cs="仿宋"/>
          <w:b w:val="0"/>
          <w:bCs/>
          <w:snapToGrid w:val="0"/>
          <w:color w:val="000000"/>
          <w:spacing w:val="8"/>
          <w:kern w:val="0"/>
          <w:sz w:val="31"/>
          <w:szCs w:val="31"/>
          <w:lang w:val="en-US" w:eastAsia="en-US" w:bidi="ar-SA"/>
        </w:rPr>
        <w:t>甘肃卫生职业学院</w:t>
      </w:r>
      <w:r>
        <w:rPr>
          <w:rFonts w:hint="default" w:ascii="仿宋" w:hAnsi="仿宋" w:eastAsia="仿宋" w:cs="仿宋"/>
          <w:b w:val="0"/>
          <w:bCs/>
          <w:snapToGrid w:val="0"/>
          <w:color w:val="000000"/>
          <w:spacing w:val="8"/>
          <w:kern w:val="0"/>
          <w:sz w:val="31"/>
          <w:szCs w:val="31"/>
          <w:lang w:val="en-US" w:eastAsia="zh-CN" w:bidi="ar-SA"/>
        </w:rPr>
        <w:t>口腔医学</w:t>
      </w:r>
      <w:r>
        <w:rPr>
          <w:rFonts w:hint="default" w:ascii="仿宋" w:hAnsi="仿宋" w:eastAsia="仿宋" w:cs="仿宋"/>
          <w:b w:val="0"/>
          <w:bCs/>
          <w:snapToGrid w:val="0"/>
          <w:color w:val="000000"/>
          <w:spacing w:val="8"/>
          <w:kern w:val="0"/>
          <w:sz w:val="31"/>
          <w:szCs w:val="31"/>
          <w:lang w:val="en-US" w:eastAsia="en-US" w:bidi="ar-SA"/>
        </w:rPr>
        <w:t>专业人才培养方案论证意见表</w:t>
      </w:r>
    </w:p>
    <w:p w14:paraId="4446B84E">
      <w:pPr>
        <w:pStyle w:val="24"/>
        <w:keepNext w:val="0"/>
        <w:keepLines w:val="0"/>
        <w:pageBreakBefore w:val="0"/>
        <w:widowControl/>
        <w:kinsoku/>
        <w:wordWrap/>
        <w:overflowPunct/>
        <w:topLinePunct w:val="0"/>
        <w:autoSpaceDE w:val="0"/>
        <w:autoSpaceDN w:val="0"/>
        <w:bidi w:val="0"/>
        <w:adjustRightInd w:val="0"/>
        <w:snapToGrid w:val="0"/>
        <w:spacing w:line="320" w:lineRule="auto"/>
        <w:textAlignment w:val="baseline"/>
        <w:rPr>
          <w:rFonts w:hint="default" w:ascii="仿宋" w:hAnsi="仿宋" w:eastAsia="仿宋" w:cs="仿宋"/>
          <w:b w:val="0"/>
          <w:bCs/>
          <w:snapToGrid w:val="0"/>
          <w:color w:val="000000"/>
          <w:spacing w:val="8"/>
          <w:kern w:val="0"/>
          <w:sz w:val="31"/>
          <w:szCs w:val="31"/>
          <w:lang w:val="en-US" w:eastAsia="en-US" w:bidi="ar-SA"/>
        </w:rPr>
      </w:pPr>
      <w:r>
        <w:rPr>
          <w:rFonts w:hint="eastAsia" w:ascii="仿宋" w:hAnsi="仿宋" w:eastAsia="仿宋" w:cs="仿宋"/>
          <w:b w:val="0"/>
          <w:bCs/>
          <w:snapToGrid w:val="0"/>
          <w:color w:val="000000"/>
          <w:spacing w:val="8"/>
          <w:kern w:val="0"/>
          <w:sz w:val="31"/>
          <w:szCs w:val="31"/>
          <w:lang w:val="en-US" w:eastAsia="zh-CN" w:bidi="ar-SA"/>
        </w:rPr>
        <w:t>（四）</w:t>
      </w:r>
      <w:r>
        <w:rPr>
          <w:rFonts w:hint="default" w:ascii="仿宋" w:hAnsi="仿宋" w:eastAsia="仿宋" w:cs="仿宋"/>
          <w:b w:val="0"/>
          <w:bCs/>
          <w:snapToGrid w:val="0"/>
          <w:color w:val="000000"/>
          <w:spacing w:val="8"/>
          <w:kern w:val="0"/>
          <w:sz w:val="31"/>
          <w:szCs w:val="31"/>
          <w:lang w:val="en-US" w:eastAsia="en-US" w:bidi="ar-SA"/>
        </w:rPr>
        <w:t>甘肃卫生职业学院</w:t>
      </w:r>
      <w:r>
        <w:rPr>
          <w:rFonts w:hint="default" w:ascii="仿宋" w:hAnsi="仿宋" w:eastAsia="仿宋" w:cs="仿宋"/>
          <w:b w:val="0"/>
          <w:bCs/>
          <w:snapToGrid w:val="0"/>
          <w:color w:val="000000"/>
          <w:spacing w:val="8"/>
          <w:kern w:val="0"/>
          <w:sz w:val="31"/>
          <w:szCs w:val="31"/>
          <w:lang w:val="en-US" w:eastAsia="zh-CN" w:bidi="ar-SA"/>
        </w:rPr>
        <w:t>口腔医学</w:t>
      </w:r>
      <w:r>
        <w:rPr>
          <w:rFonts w:hint="default" w:ascii="仿宋" w:hAnsi="仿宋" w:eastAsia="仿宋" w:cs="仿宋"/>
          <w:b w:val="0"/>
          <w:bCs/>
          <w:snapToGrid w:val="0"/>
          <w:color w:val="000000"/>
          <w:spacing w:val="8"/>
          <w:kern w:val="0"/>
          <w:sz w:val="31"/>
          <w:szCs w:val="31"/>
          <w:lang w:val="en-US" w:eastAsia="en-US" w:bidi="ar-SA"/>
        </w:rPr>
        <w:t>专业人才培养方案审批表</w:t>
      </w:r>
    </w:p>
    <w:p w14:paraId="151CAE9B">
      <w:pPr>
        <w:pStyle w:val="4"/>
        <w:keepNext w:val="0"/>
        <w:keepLines w:val="0"/>
        <w:pageBreakBefore w:val="0"/>
        <w:widowControl/>
        <w:kinsoku w:val="0"/>
        <w:wordWrap/>
        <w:overflowPunct/>
        <w:topLinePunct w:val="0"/>
        <w:autoSpaceDE w:val="0"/>
        <w:autoSpaceDN w:val="0"/>
        <w:bidi w:val="0"/>
        <w:adjustRightInd w:val="0"/>
        <w:snapToGrid w:val="0"/>
        <w:spacing w:line="240" w:lineRule="auto"/>
        <w:ind w:firstLine="700" w:firstLineChars="200"/>
        <w:textAlignment w:val="baseline"/>
        <w:rPr>
          <w:b w:val="0"/>
          <w:bCs/>
          <w:spacing w:val="20"/>
        </w:rPr>
      </w:pPr>
    </w:p>
    <w:p w14:paraId="746775F2">
      <w:pPr>
        <w:pStyle w:val="4"/>
        <w:keepNext w:val="0"/>
        <w:keepLines w:val="0"/>
        <w:pageBreakBefore w:val="0"/>
        <w:widowControl/>
        <w:kinsoku w:val="0"/>
        <w:wordWrap/>
        <w:overflowPunct/>
        <w:topLinePunct w:val="0"/>
        <w:autoSpaceDE w:val="0"/>
        <w:autoSpaceDN w:val="0"/>
        <w:bidi w:val="0"/>
        <w:adjustRightInd w:val="0"/>
        <w:snapToGrid w:val="0"/>
        <w:spacing w:line="240" w:lineRule="auto"/>
        <w:ind w:firstLine="700" w:firstLineChars="200"/>
        <w:textAlignment w:val="baseline"/>
        <w:rPr>
          <w:b w:val="0"/>
          <w:bCs/>
          <w:spacing w:val="20"/>
        </w:rPr>
      </w:pPr>
    </w:p>
    <w:p w14:paraId="0477D91D">
      <w:pPr>
        <w:pStyle w:val="4"/>
        <w:spacing w:before="57" w:line="318" w:lineRule="auto"/>
        <w:ind w:left="671" w:hanging="2"/>
        <w:rPr>
          <w:spacing w:val="6"/>
        </w:rPr>
      </w:pPr>
    </w:p>
    <w:p w14:paraId="0F8F17B7">
      <w:pPr>
        <w:pStyle w:val="4"/>
        <w:spacing w:before="57" w:line="318" w:lineRule="auto"/>
        <w:ind w:left="671" w:hanging="2"/>
        <w:rPr>
          <w:spacing w:val="6"/>
        </w:rPr>
      </w:pPr>
    </w:p>
    <w:p w14:paraId="29D4E5FE">
      <w:pPr>
        <w:spacing w:line="267" w:lineRule="auto"/>
        <w:rPr>
          <w:rFonts w:ascii="Arial"/>
          <w:sz w:val="21"/>
        </w:rPr>
      </w:pPr>
    </w:p>
    <w:p w14:paraId="5308586E">
      <w:pPr>
        <w:spacing w:line="268" w:lineRule="auto"/>
        <w:rPr>
          <w:rFonts w:ascii="Arial"/>
          <w:sz w:val="21"/>
        </w:rPr>
      </w:pPr>
    </w:p>
    <w:p w14:paraId="3435478F">
      <w:pPr>
        <w:pStyle w:val="4"/>
        <w:spacing w:before="102" w:line="317" w:lineRule="auto"/>
        <w:ind w:right="1906"/>
        <w:jc w:val="right"/>
        <w:rPr>
          <w:rFonts w:hint="eastAsia" w:eastAsia="仿宋"/>
          <w:spacing w:val="2"/>
          <w:lang w:val="en-US" w:eastAsia="zh-CN"/>
        </w:rPr>
      </w:pPr>
      <w:r>
        <w:rPr>
          <w:rFonts w:hint="eastAsia"/>
          <w:spacing w:val="-15"/>
          <w:lang w:val="en-US" w:eastAsia="zh-CN"/>
        </w:rPr>
        <w:t xml:space="preserve">             </w:t>
      </w:r>
      <w:r>
        <w:rPr>
          <w:spacing w:val="-15"/>
        </w:rPr>
        <w:t>执笔人：</w:t>
      </w:r>
      <w:r>
        <w:rPr>
          <w:rFonts w:hint="eastAsia"/>
          <w:spacing w:val="-15"/>
          <w:lang w:val="en-US" w:eastAsia="zh-CN"/>
        </w:rPr>
        <w:t>钱澄艺</w:t>
      </w:r>
    </w:p>
    <w:p w14:paraId="66A57FD5">
      <w:pPr>
        <w:pStyle w:val="4"/>
        <w:spacing w:before="102" w:line="317" w:lineRule="auto"/>
        <w:ind w:right="1906"/>
        <w:jc w:val="right"/>
        <w:rPr>
          <w:rFonts w:hint="eastAsia" w:eastAsia="仿宋"/>
          <w:lang w:val="en-US" w:eastAsia="zh-CN"/>
        </w:rPr>
      </w:pPr>
      <w:r>
        <w:rPr>
          <w:rFonts w:hint="eastAsia"/>
          <w:spacing w:val="-21"/>
          <w:lang w:val="en-US" w:eastAsia="zh-CN"/>
        </w:rPr>
        <w:t xml:space="preserve">        </w:t>
      </w:r>
      <w:r>
        <w:rPr>
          <w:spacing w:val="-21"/>
        </w:rPr>
        <w:t>审核人：</w:t>
      </w:r>
      <w:r>
        <w:rPr>
          <w:rFonts w:hint="eastAsia"/>
          <w:spacing w:val="-21"/>
          <w:lang w:val="en-US" w:eastAsia="zh-CN"/>
        </w:rPr>
        <w:t>王  琳</w:t>
      </w:r>
    </w:p>
    <w:p w14:paraId="78EC63CC">
      <w:pPr>
        <w:pStyle w:val="4"/>
        <w:spacing w:before="33" w:line="227" w:lineRule="auto"/>
        <w:jc w:val="right"/>
      </w:pPr>
      <w:r>
        <w:rPr>
          <w:rFonts w:hint="eastAsia"/>
          <w:spacing w:val="-20"/>
          <w:lang w:val="en-US" w:eastAsia="zh-CN"/>
        </w:rPr>
        <w:t xml:space="preserve">        </w:t>
      </w:r>
      <w:r>
        <w:rPr>
          <w:spacing w:val="-20"/>
        </w:rPr>
        <w:t>制（修）订时间：</w:t>
      </w:r>
      <w:r>
        <w:rPr>
          <w:rFonts w:hint="eastAsia"/>
          <w:spacing w:val="97"/>
          <w:lang w:val="en-US" w:eastAsia="zh-CN"/>
        </w:rPr>
        <w:t>2026</w:t>
      </w:r>
      <w:r>
        <w:rPr>
          <w:spacing w:val="-20"/>
        </w:rPr>
        <w:t>年</w:t>
      </w:r>
      <w:r>
        <w:rPr>
          <w:rFonts w:hint="eastAsia"/>
          <w:spacing w:val="-20"/>
          <w:lang w:val="en-US" w:eastAsia="zh-CN"/>
        </w:rPr>
        <w:t xml:space="preserve"> </w:t>
      </w:r>
      <w:r>
        <w:rPr>
          <w:rFonts w:hint="eastAsia"/>
          <w:spacing w:val="97"/>
          <w:lang w:val="en-US" w:eastAsia="zh-CN"/>
        </w:rPr>
        <w:t>6</w:t>
      </w:r>
      <w:r>
        <w:rPr>
          <w:spacing w:val="-20"/>
        </w:rPr>
        <w:t>月</w:t>
      </w:r>
    </w:p>
    <w:p w14:paraId="2099A281">
      <w:pPr>
        <w:spacing w:line="227" w:lineRule="auto"/>
        <w:jc w:val="left"/>
      </w:pPr>
    </w:p>
    <w:p w14:paraId="384EAA6C">
      <w:pPr>
        <w:spacing w:line="227" w:lineRule="auto"/>
      </w:pPr>
    </w:p>
    <w:p w14:paraId="514ADDAC">
      <w:pPr>
        <w:spacing w:line="227" w:lineRule="auto"/>
        <w:rPr>
          <w:rFonts w:hint="eastAsia"/>
          <w:spacing w:val="-1"/>
          <w:lang w:val="en-US" w:eastAsia="zh-CN"/>
        </w:rPr>
      </w:pPr>
    </w:p>
    <w:p w14:paraId="0A773757">
      <w:pPr>
        <w:spacing w:line="271" w:lineRule="auto"/>
        <w:rPr>
          <w:rFonts w:ascii="Arial"/>
          <w:sz w:val="21"/>
        </w:rPr>
      </w:pPr>
    </w:p>
    <w:p w14:paraId="01D79787">
      <w:pPr>
        <w:spacing w:line="271" w:lineRule="auto"/>
        <w:rPr>
          <w:rFonts w:ascii="Arial"/>
          <w:sz w:val="21"/>
        </w:rPr>
      </w:pPr>
    </w:p>
    <w:p w14:paraId="0565F00C">
      <w:pPr>
        <w:spacing w:line="271" w:lineRule="auto"/>
        <w:rPr>
          <w:rFonts w:ascii="Arial"/>
          <w:sz w:val="21"/>
        </w:rPr>
      </w:pPr>
    </w:p>
    <w:p w14:paraId="32FB4034">
      <w:pPr>
        <w:spacing w:line="271" w:lineRule="auto"/>
        <w:rPr>
          <w:rFonts w:ascii="Arial"/>
          <w:sz w:val="21"/>
        </w:rPr>
      </w:pPr>
    </w:p>
    <w:p w14:paraId="51BD2249">
      <w:pPr>
        <w:spacing w:line="271" w:lineRule="auto"/>
        <w:rPr>
          <w:rFonts w:ascii="Arial"/>
          <w:sz w:val="21"/>
        </w:rPr>
      </w:pPr>
    </w:p>
    <w:p w14:paraId="4390EA4E">
      <w:pPr>
        <w:spacing w:line="271" w:lineRule="auto"/>
        <w:rPr>
          <w:rFonts w:ascii="Arial"/>
          <w:sz w:val="21"/>
        </w:rPr>
      </w:pPr>
    </w:p>
    <w:p w14:paraId="58AF70B4">
      <w:pPr>
        <w:spacing w:line="271" w:lineRule="auto"/>
        <w:rPr>
          <w:rFonts w:ascii="Arial"/>
          <w:sz w:val="21"/>
        </w:rPr>
      </w:pPr>
    </w:p>
    <w:p w14:paraId="6F903E1D">
      <w:pPr>
        <w:spacing w:before="101" w:line="230" w:lineRule="auto"/>
        <w:ind w:left="565"/>
        <w:rPr>
          <w:rFonts w:ascii="黑体" w:hAnsi="黑体" w:eastAsia="黑体" w:cs="黑体"/>
          <w:spacing w:val="-4"/>
          <w:sz w:val="31"/>
          <w:szCs w:val="31"/>
        </w:rPr>
      </w:pPr>
    </w:p>
    <w:p w14:paraId="351DFAD3">
      <w:pPr>
        <w:spacing w:before="101" w:line="230" w:lineRule="auto"/>
        <w:ind w:left="565"/>
        <w:rPr>
          <w:rFonts w:ascii="黑体" w:hAnsi="黑体" w:eastAsia="黑体" w:cs="黑体"/>
          <w:spacing w:val="-4"/>
          <w:sz w:val="31"/>
          <w:szCs w:val="31"/>
        </w:rPr>
      </w:pPr>
    </w:p>
    <w:p w14:paraId="3A9D1063">
      <w:pPr>
        <w:spacing w:before="101" w:line="230" w:lineRule="auto"/>
        <w:ind w:left="565"/>
        <w:rPr>
          <w:rFonts w:ascii="黑体" w:hAnsi="黑体" w:eastAsia="黑体" w:cs="黑体"/>
          <w:spacing w:val="-4"/>
          <w:sz w:val="31"/>
          <w:szCs w:val="31"/>
        </w:rPr>
      </w:pPr>
    </w:p>
    <w:p w14:paraId="0378CDA9">
      <w:pPr>
        <w:spacing w:before="101" w:line="230" w:lineRule="auto"/>
        <w:ind w:left="565"/>
        <w:rPr>
          <w:rFonts w:ascii="黑体" w:hAnsi="黑体" w:eastAsia="黑体" w:cs="黑体"/>
          <w:spacing w:val="-4"/>
          <w:sz w:val="31"/>
          <w:szCs w:val="31"/>
        </w:rPr>
      </w:pPr>
    </w:p>
    <w:p w14:paraId="443E1C3B">
      <w:pPr>
        <w:rPr>
          <w:rFonts w:ascii="Arial"/>
          <w:sz w:val="21"/>
        </w:rPr>
      </w:pPr>
    </w:p>
    <w:sectPr>
      <w:footerReference r:id="rId8" w:type="default"/>
      <w:pgSz w:w="11906" w:h="16839"/>
      <w:pgMar w:top="1440" w:right="1080" w:bottom="1440" w:left="1080" w:header="0" w:footer="848"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5878CB9-0194-455E-9733-C30FD343011F}"/>
  </w:font>
  <w:font w:name="黑体">
    <w:panose1 w:val="02010609060101010101"/>
    <w:charset w:val="86"/>
    <w:family w:val="auto"/>
    <w:pitch w:val="default"/>
    <w:sig w:usb0="800002BF" w:usb1="38CF7CFA" w:usb2="00000016" w:usb3="00000000" w:csb0="00040001" w:csb1="00000000"/>
    <w:embedRegular r:id="rId2" w:fontKey="{95DDD5F9-179B-4AAA-8DA7-57D72BB8B8D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93F82E4-54E3-46A9-83CB-234DDC1A04C5}"/>
  </w:font>
  <w:font w:name="楷体">
    <w:panose1 w:val="02010609060101010101"/>
    <w:charset w:val="86"/>
    <w:family w:val="auto"/>
    <w:pitch w:val="default"/>
    <w:sig w:usb0="800002BF" w:usb1="38CF7CFA" w:usb2="00000016" w:usb3="00000000" w:csb0="00040001" w:csb1="00000000"/>
    <w:embedRegular r:id="rId4" w:fontKey="{DDA60BB6-8E80-494A-94A3-2B66634AC28C}"/>
  </w:font>
  <w:font w:name="仿宋">
    <w:panose1 w:val="02010609060101010101"/>
    <w:charset w:val="86"/>
    <w:family w:val="auto"/>
    <w:pitch w:val="default"/>
    <w:sig w:usb0="800002BF" w:usb1="38CF7CFA" w:usb2="00000016" w:usb3="00000000" w:csb0="00040001" w:csb1="00000000"/>
    <w:embedRegular r:id="rId5" w:fontKey="{B096C163-E355-4412-A86E-BC7D57B965D5}"/>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embedRegular r:id="rId6" w:fontKey="{D1CEB940-05BF-487C-8D18-50CA13986E5D}"/>
  </w:font>
  <w:font w:name="华文仿宋">
    <w:altName w:val="仿宋"/>
    <w:panose1 w:val="02010600040101010101"/>
    <w:charset w:val="86"/>
    <w:family w:val="auto"/>
    <w:pitch w:val="default"/>
    <w:sig w:usb0="00000000" w:usb1="00000000" w:usb2="00000000" w:usb3="00000000" w:csb0="0004009F" w:csb1="DFD7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9320C">
    <w:pPr>
      <w:spacing w:line="177" w:lineRule="auto"/>
      <w:ind w:left="22"/>
      <w:rPr>
        <w:rFonts w:ascii="宋体" w:hAnsi="宋体" w:eastAsia="宋体" w:cs="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1AD36">
    <w:pPr>
      <w:spacing w:line="177" w:lineRule="auto"/>
      <w:rPr>
        <w:rFonts w:hint="eastAsia" w:ascii="宋体" w:hAnsi="宋体" w:eastAsia="宋体" w:cs="宋体"/>
        <w:sz w:val="28"/>
        <w:szCs w:val="28"/>
        <w:lang w:val="en-US" w:eastAsia="zh-CN"/>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EB10A1">
                          <w:pPr>
                            <w:pStyle w:val="5"/>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1EB10A1">
                    <w:pPr>
                      <w:pStyle w:val="5"/>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94BBA">
    <w:pPr>
      <w:spacing w:before="1" w:line="176" w:lineRule="auto"/>
      <w:ind w:left="22"/>
      <w:rPr>
        <w:rFonts w:ascii="宋体" w:hAnsi="宋体" w:eastAsia="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16CE7C">
                          <w:pPr>
                            <w:pStyle w:val="5"/>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B16CE7C">
                    <w:pPr>
                      <w:pStyle w:val="5"/>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10340">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454B82"/>
    <w:multiLevelType w:val="singleLevel"/>
    <w:tmpl w:val="CD454B82"/>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05D10AD"/>
    <w:rsid w:val="05CF1E17"/>
    <w:rsid w:val="07805A7B"/>
    <w:rsid w:val="08FE60D4"/>
    <w:rsid w:val="094E5430"/>
    <w:rsid w:val="0B521354"/>
    <w:rsid w:val="0BD64040"/>
    <w:rsid w:val="0BE34A57"/>
    <w:rsid w:val="0C3118A7"/>
    <w:rsid w:val="0FBD2EDE"/>
    <w:rsid w:val="142D62DF"/>
    <w:rsid w:val="14C447F8"/>
    <w:rsid w:val="15394ADF"/>
    <w:rsid w:val="175A5ADE"/>
    <w:rsid w:val="19B10797"/>
    <w:rsid w:val="1A9609E5"/>
    <w:rsid w:val="1AE111AD"/>
    <w:rsid w:val="1E571967"/>
    <w:rsid w:val="20105ECA"/>
    <w:rsid w:val="20A86CAB"/>
    <w:rsid w:val="20DC35FE"/>
    <w:rsid w:val="255D6CCF"/>
    <w:rsid w:val="2584191E"/>
    <w:rsid w:val="2B20324F"/>
    <w:rsid w:val="2B3669D6"/>
    <w:rsid w:val="2DE91628"/>
    <w:rsid w:val="2EB70C04"/>
    <w:rsid w:val="2F9652B7"/>
    <w:rsid w:val="34DA2D80"/>
    <w:rsid w:val="34E16FD5"/>
    <w:rsid w:val="361525E6"/>
    <w:rsid w:val="36D5260C"/>
    <w:rsid w:val="37BF1155"/>
    <w:rsid w:val="39916502"/>
    <w:rsid w:val="3AB07B73"/>
    <w:rsid w:val="3CA403C3"/>
    <w:rsid w:val="3CAA0A65"/>
    <w:rsid w:val="3D5D7415"/>
    <w:rsid w:val="3FF7308A"/>
    <w:rsid w:val="432A33D9"/>
    <w:rsid w:val="489027E5"/>
    <w:rsid w:val="4A952527"/>
    <w:rsid w:val="4BC639C5"/>
    <w:rsid w:val="4F211FED"/>
    <w:rsid w:val="4FA65EBC"/>
    <w:rsid w:val="515801C7"/>
    <w:rsid w:val="51CB1F8D"/>
    <w:rsid w:val="51F13C74"/>
    <w:rsid w:val="521C7446"/>
    <w:rsid w:val="544C61CF"/>
    <w:rsid w:val="56004110"/>
    <w:rsid w:val="58A4109F"/>
    <w:rsid w:val="59AE574C"/>
    <w:rsid w:val="59B461B6"/>
    <w:rsid w:val="5B3669ED"/>
    <w:rsid w:val="5C693A85"/>
    <w:rsid w:val="60844AE7"/>
    <w:rsid w:val="66AF4599"/>
    <w:rsid w:val="66C96E9B"/>
    <w:rsid w:val="66F127F8"/>
    <w:rsid w:val="67D54A10"/>
    <w:rsid w:val="69B84F50"/>
    <w:rsid w:val="69BF343C"/>
    <w:rsid w:val="6C3C3625"/>
    <w:rsid w:val="701006A2"/>
    <w:rsid w:val="71BC51D1"/>
    <w:rsid w:val="73040AD5"/>
    <w:rsid w:val="73EB2266"/>
    <w:rsid w:val="74177BC6"/>
    <w:rsid w:val="74480157"/>
    <w:rsid w:val="76570935"/>
    <w:rsid w:val="77602967"/>
    <w:rsid w:val="779F004E"/>
    <w:rsid w:val="7816767D"/>
    <w:rsid w:val="78B84295"/>
    <w:rsid w:val="7A330F5E"/>
    <w:rsid w:val="7AE1082E"/>
    <w:rsid w:val="7E834C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360" w:lineRule="auto"/>
      <w:jc w:val="left"/>
      <w:textAlignment w:val="baseline"/>
    </w:pPr>
    <w:rPr>
      <w:rFonts w:ascii="Arial" w:hAnsi="Arial" w:eastAsia="黑体" w:cs="Arial"/>
      <w:b/>
      <w:snapToGrid w:val="0"/>
      <w:color w:val="000000"/>
      <w:kern w:val="0"/>
      <w:sz w:val="32"/>
      <w:szCs w:val="21"/>
      <w:lang w:val="en-US" w:eastAsia="en-US" w:bidi="ar-SA"/>
    </w:rPr>
  </w:style>
  <w:style w:type="paragraph" w:styleId="2">
    <w:name w:val="heading 1"/>
    <w:basedOn w:val="1"/>
    <w:next w:val="1"/>
    <w:qFormat/>
    <w:uiPriority w:val="0"/>
    <w:pPr>
      <w:keepNext/>
      <w:keepLines/>
      <w:spacing w:beforeLines="0" w:beforeAutospacing="0" w:afterLines="0" w:afterAutospacing="0" w:line="240" w:lineRule="auto"/>
      <w:outlineLvl w:val="0"/>
    </w:pPr>
    <w:rPr>
      <w:rFonts w:ascii="Arial" w:hAnsi="Arial" w:eastAsia="黑体"/>
      <w:kern w:val="44"/>
      <w:sz w:val="28"/>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楷体"/>
      <w:sz w:val="28"/>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仿宋" w:hAnsi="仿宋" w:eastAsia="仿宋" w:cs="仿宋"/>
      <w:sz w:val="31"/>
      <w:szCs w:val="31"/>
      <w:lang w:val="en-US" w:eastAsia="en-US" w:bidi="ar-SA"/>
    </w:rPr>
  </w:style>
  <w:style w:type="paragraph" w:styleId="5">
    <w:name w:val="footer"/>
    <w:qFormat/>
    <w:uiPriority w:val="0"/>
    <w:pPr>
      <w:widowControl w:val="0"/>
      <w:tabs>
        <w:tab w:val="center" w:pos="4153"/>
        <w:tab w:val="right" w:pos="8306"/>
      </w:tabs>
      <w:adjustRightInd w:val="0"/>
      <w:spacing w:after="0" w:line="288" w:lineRule="auto"/>
    </w:pPr>
    <w:rPr>
      <w:rFonts w:ascii="Calibri" w:hAnsi="Calibri" w:eastAsia="宋体" w:cs="Times New Roman"/>
      <w:kern w:val="2"/>
      <w:sz w:val="18"/>
      <w:szCs w:val="18"/>
      <w:lang w:val="en-US" w:eastAsia="zh-CN" w:bidi="ar-SA"/>
      <w14:ligatures w14:val="none"/>
    </w:rPr>
  </w:style>
  <w:style w:type="paragraph" w:styleId="6">
    <w:name w:val="toc 1"/>
    <w:basedOn w:val="1"/>
    <w:next w:val="1"/>
    <w:unhideWhenUsed/>
    <w:qFormat/>
    <w:uiPriority w:val="39"/>
    <w:pPr>
      <w:tabs>
        <w:tab w:val="right" w:leader="dot" w:pos="9016"/>
      </w:tabs>
      <w:spacing w:line="360" w:lineRule="auto"/>
    </w:pPr>
    <w:rPr>
      <w:rFonts w:eastAsia="仿宋"/>
      <w:bCs/>
      <w:sz w:val="24"/>
    </w:rPr>
  </w:style>
  <w:style w:type="paragraph" w:styleId="7">
    <w:name w:val="toc 2"/>
    <w:basedOn w:val="1"/>
    <w:next w:val="1"/>
    <w:unhideWhenUsed/>
    <w:qFormat/>
    <w:uiPriority w:val="39"/>
    <w:pPr>
      <w:spacing w:line="360" w:lineRule="auto"/>
      <w:ind w:left="420" w:leftChars="200"/>
    </w:pPr>
    <w:rPr>
      <w:rFonts w:eastAsia="仿宋"/>
      <w:b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Table Text"/>
    <w:basedOn w:val="1"/>
    <w:semiHidden/>
    <w:qFormat/>
    <w:uiPriority w:val="0"/>
    <w:rPr>
      <w:rFonts w:ascii="Arial" w:hAnsi="Arial" w:eastAsia="Arial" w:cs="Arial"/>
      <w:sz w:val="21"/>
      <w:szCs w:val="21"/>
      <w:lang w:val="en-US" w:eastAsia="en-US" w:bidi="ar-SA"/>
    </w:rPr>
  </w:style>
  <w:style w:type="character" w:customStyle="1" w:styleId="15">
    <w:name w:val="font21"/>
    <w:basedOn w:val="10"/>
    <w:qFormat/>
    <w:uiPriority w:val="0"/>
    <w:rPr>
      <w:rFonts w:ascii="宋体" w:hAnsi="宋体" w:eastAsia="宋体" w:cs="宋体"/>
      <w:color w:val="000000"/>
      <w:sz w:val="36"/>
      <w:szCs w:val="36"/>
      <w:u w:val="none"/>
    </w:rPr>
  </w:style>
  <w:style w:type="character" w:customStyle="1" w:styleId="16">
    <w:name w:val="font31"/>
    <w:basedOn w:val="10"/>
    <w:qFormat/>
    <w:uiPriority w:val="0"/>
    <w:rPr>
      <w:rFonts w:ascii="Arial" w:hAnsi="Arial" w:cs="Arial"/>
      <w:color w:val="000000"/>
      <w:sz w:val="13"/>
      <w:szCs w:val="13"/>
      <w:u w:val="none"/>
    </w:rPr>
  </w:style>
  <w:style w:type="character" w:customStyle="1" w:styleId="17">
    <w:name w:val="font41"/>
    <w:basedOn w:val="10"/>
    <w:qFormat/>
    <w:uiPriority w:val="0"/>
    <w:rPr>
      <w:rFonts w:hint="default" w:ascii="Arial" w:hAnsi="Arial" w:cs="Arial"/>
      <w:color w:val="000000"/>
      <w:sz w:val="15"/>
      <w:szCs w:val="15"/>
      <w:u w:val="none"/>
    </w:rPr>
  </w:style>
  <w:style w:type="character" w:customStyle="1" w:styleId="18">
    <w:name w:val="font01"/>
    <w:basedOn w:val="10"/>
    <w:qFormat/>
    <w:uiPriority w:val="0"/>
    <w:rPr>
      <w:rFonts w:hint="eastAsia" w:ascii="宋体" w:hAnsi="宋体" w:eastAsia="宋体" w:cs="宋体"/>
      <w:color w:val="000000"/>
      <w:sz w:val="22"/>
      <w:szCs w:val="22"/>
      <w:u w:val="none"/>
    </w:rPr>
  </w:style>
  <w:style w:type="character" w:customStyle="1" w:styleId="19">
    <w:name w:val="font51"/>
    <w:basedOn w:val="10"/>
    <w:qFormat/>
    <w:uiPriority w:val="0"/>
    <w:rPr>
      <w:rFonts w:ascii="微软雅黑" w:hAnsi="微软雅黑" w:eastAsia="微软雅黑" w:cs="微软雅黑"/>
      <w:color w:val="000000"/>
      <w:sz w:val="22"/>
      <w:szCs w:val="22"/>
      <w:u w:val="none"/>
    </w:rPr>
  </w:style>
  <w:style w:type="character" w:customStyle="1" w:styleId="20">
    <w:name w:val="font11"/>
    <w:basedOn w:val="10"/>
    <w:qFormat/>
    <w:uiPriority w:val="0"/>
    <w:rPr>
      <w:rFonts w:hint="eastAsia" w:ascii="宋体" w:hAnsi="宋体" w:eastAsia="宋体" w:cs="宋体"/>
      <w:b/>
      <w:bCs/>
      <w:color w:val="000000"/>
      <w:sz w:val="22"/>
      <w:szCs w:val="22"/>
      <w:u w:val="none"/>
    </w:rPr>
  </w:style>
  <w:style w:type="character" w:customStyle="1" w:styleId="21">
    <w:name w:val="font61"/>
    <w:basedOn w:val="10"/>
    <w:qFormat/>
    <w:uiPriority w:val="0"/>
    <w:rPr>
      <w:rFonts w:hint="eastAsia" w:ascii="微软雅黑" w:hAnsi="微软雅黑" w:eastAsia="微软雅黑" w:cs="微软雅黑"/>
      <w:b/>
      <w:bCs/>
      <w:color w:val="000000"/>
      <w:sz w:val="22"/>
      <w:szCs w:val="22"/>
      <w:u w:val="none"/>
    </w:rPr>
  </w:style>
  <w:style w:type="character" w:customStyle="1" w:styleId="22">
    <w:name w:val="font121"/>
    <w:basedOn w:val="10"/>
    <w:qFormat/>
    <w:uiPriority w:val="0"/>
    <w:rPr>
      <w:rFonts w:hint="default" w:ascii="Arial" w:hAnsi="Arial" w:cs="Arial"/>
      <w:color w:val="000000"/>
      <w:sz w:val="22"/>
      <w:szCs w:val="22"/>
      <w:u w:val="none"/>
    </w:rPr>
  </w:style>
  <w:style w:type="character" w:customStyle="1" w:styleId="23">
    <w:name w:val="font71"/>
    <w:basedOn w:val="10"/>
    <w:qFormat/>
    <w:uiPriority w:val="0"/>
    <w:rPr>
      <w:rFonts w:hint="eastAsia" w:ascii="微软雅黑" w:hAnsi="微软雅黑" w:eastAsia="微软雅黑" w:cs="微软雅黑"/>
      <w:b/>
      <w:bCs/>
      <w:color w:val="000000"/>
      <w:sz w:val="22"/>
      <w:szCs w:val="22"/>
      <w:u w:val="none"/>
    </w:rPr>
  </w:style>
  <w:style w:type="paragraph" w:customStyle="1" w:styleId="24">
    <w:name w:val="0--3"/>
    <w:basedOn w:val="1"/>
    <w:qFormat/>
    <w:uiPriority w:val="0"/>
    <w:pPr>
      <w:spacing w:line="490" w:lineRule="exact"/>
      <w:ind w:firstLine="560" w:firstLineChars="200"/>
    </w:pPr>
    <w:rPr>
      <w:rFonts w:ascii="仿宋_GB2312" w:hAnsi="华文仿宋" w:eastAsia="仿宋_GB2312" w:cs="宋体"/>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3b9599d0-6183-4acd-a99e-9dae76112528</errorID>
      <errorWord>同等学力</errorWord>
      <group>L1_Word</group>
      <groupName>字词问题</groupName>
      <ability>L2_Typo</ability>
      <abilityName>字词错误</abilityName>
      <candidateList>
        <item>同等学历</item>
      </candidateList>
      <explain/>
      <paraID>29581D93</paraID>
      <start>32</start>
      <end>36</end>
      <status>ignored</status>
      <modifiedWord/>
      <trackRevisions>false</trackRevisions>
    </reviewItem>
    <reviewItem>
      <errorID>ff2d9932-2cd5-4b1f-a19f-55dd0dd5689d</errorID>
      <errorWord>(</errorWord>
      <group>L1_Format</group>
      <groupName>格式问题</groupName>
      <ability>L2_HalfPunc</ability>
      <abilityName>全半角检查</abilityName>
      <candidateList>
        <item>（</item>
      </candidateList>
      <explain>文本全半角错误。</explain>
      <paraID>62CDE176</paraID>
      <start>6</start>
      <end>7</end>
      <status>modified</status>
      <modifiedWord>（</modifiedWord>
      <trackRevisions>false</trackRevisions>
    </reviewItem>
    <reviewItem>
      <errorID>b50339d5-4ffb-44b1-8b64-30fddc006722</errorID>
      <errorWord>)</errorWord>
      <group>L1_Format</group>
      <groupName>格式问题</groupName>
      <ability>L2_HalfPunc</ability>
      <abilityName>全半角检查</abilityName>
      <candidateList>
        <item>）</item>
      </candidateList>
      <explain>文本全半角错误。</explain>
      <paraID>62CDE176</paraID>
      <start>9</start>
      <end>10</end>
      <status>modified</status>
      <modifiedWord>）</modifiedWord>
      <trackRevisions>false</trackRevisions>
    </reviewItem>
    <reviewItem>
      <errorID>c2144932-c2ac-4541-8256-3e07f7bbb696</errorID>
      <errorWord>(</errorWord>
      <group>L1_Format</group>
      <groupName>格式问题</groupName>
      <ability>L2_HalfPunc</ability>
      <abilityName>全半角检查</abilityName>
      <candidateList>
        <item>（</item>
      </candidateList>
      <explain>文本全半角错误。</explain>
      <paraID>4496C9A1</paraID>
      <start>5</start>
      <end>6</end>
      <status>modified</status>
      <modifiedWord>（</modifiedWord>
      <trackRevisions>false</trackRevisions>
    </reviewItem>
    <reviewItem>
      <errorID>e014e75e-bd3c-4c1b-92c3-3126608da33d</errorID>
      <errorWord>)</errorWord>
      <group>L1_Format</group>
      <groupName>格式问题</groupName>
      <ability>L2_HalfPunc</ability>
      <abilityName>全半角检查</abilityName>
      <candidateList>
        <item>）</item>
      </candidateList>
      <explain>文本全半角错误。</explain>
      <paraID>4496C9A1</paraID>
      <start>8</start>
      <end>9</end>
      <status>modified</status>
      <modifiedWord>）</modifiedWord>
      <trackRevisions>false</trackRevisions>
    </reviewItem>
    <reviewItem>
      <errorID>5289fdb2-8085-420c-bb2c-58303790289c</errorID>
      <errorWord>(</errorWord>
      <group>L1_Format</group>
      <groupName>格式问题</groupName>
      <ability>L2_HalfPunc</ability>
      <abilityName>全半角检查</abilityName>
      <candidateList>
        <item>（</item>
      </candidateList>
      <explain>文本全半角错误。</explain>
      <paraID>  D1DABA</paraID>
      <start>4</start>
      <end>5</end>
      <status>modified</status>
      <modifiedWord>（</modifiedWord>
      <trackRevisions>false</trackRevisions>
    </reviewItem>
    <reviewItem>
      <errorID>143b4197-6d4e-4815-98ce-c42a7bf65c65</errorID>
      <errorWord>)</errorWord>
      <group>L1_Format</group>
      <groupName>格式问题</groupName>
      <ability>L2_HalfPunc</ability>
      <abilityName>全半角检查</abilityName>
      <candidateList>
        <item>）</item>
      </candidateList>
      <explain>文本全半角错误。</explain>
      <paraID>  D1DABA</paraID>
      <start>7</start>
      <end>8</end>
      <status>modified</status>
      <modifiedWord>）</modifiedWord>
      <trackRevisions>false</trackRevisions>
    </reviewItem>
    <reviewItem>
      <errorID>322e1769-adb6-45ad-8c3d-eef92ff0f8c5</errorID>
      <errorWord>(</errorWord>
      <group>L1_Format</group>
      <groupName>格式问题</groupName>
      <ability>L2_HalfPunc</ability>
      <abilityName>全半角检查</abilityName>
      <candidateList>
        <item>（</item>
      </candidateList>
      <explain>文本全半角错误。</explain>
      <paraID>232135B5</paraID>
      <start>6</start>
      <end>7</end>
      <status>modified</status>
      <modifiedWord>（</modifiedWord>
      <trackRevisions>false</trackRevisions>
    </reviewItem>
    <reviewItem>
      <errorID>061a58d1-374f-4013-a6ab-1440c5f3d882</errorID>
      <errorWord>)</errorWord>
      <group>L1_Format</group>
      <groupName>格式问题</groupName>
      <ability>L2_HalfPunc</ability>
      <abilityName>全半角检查</abilityName>
      <candidateList>
        <item>）</item>
      </candidateList>
      <explain>文本全半角错误。</explain>
      <paraID>232135B5</paraID>
      <start>9</start>
      <end>10</end>
      <status>modified</status>
      <modifiedWord>）</modifiedWord>
      <trackRevisions>false</trackRevisions>
    </reviewItem>
    <reviewItem>
      <errorID>99f19275-e7b5-4dd9-8983-6b282d40df47</errorID>
      <errorWord>(</errorWord>
      <group>L1_Format</group>
      <groupName>格式问题</groupName>
      <ability>L2_HalfPunc</ability>
      <abilityName>全半角检查</abilityName>
      <candidateList>
        <item>（</item>
      </candidateList>
      <explain>文本全半角错误。</explain>
      <paraID>7269B16A</paraID>
      <start>4</start>
      <end>5</end>
      <status>modified</status>
      <modifiedWord>（</modifiedWord>
      <trackRevisions>false</trackRevisions>
    </reviewItem>
    <reviewItem>
      <errorID>5dbd6ef6-e6ee-4ac3-8e1a-3669ea4ac578</errorID>
      <errorWord>)</errorWord>
      <group>L1_Format</group>
      <groupName>格式问题</groupName>
      <ability>L2_HalfPunc</ability>
      <abilityName>全半角检查</abilityName>
      <candidateList>
        <item>）</item>
      </candidateList>
      <explain>文本全半角错误。</explain>
      <paraID>7269B16A</paraID>
      <start>6</start>
      <end>7</end>
      <status>modified</status>
      <modifiedWord>）</modifiedWord>
      <trackRevisions>false</trackRevisions>
    </reviewItem>
    <reviewItem>
      <errorID>1b12cb28-3fc2-4eab-a40f-eca66680c422</errorID>
      <errorWord>，</errorWord>
      <group>L1_Word</group>
      <groupName>字词问题</groupName>
      <ability>L2_Typo</ability>
      <abilityName>字词错误</abilityName>
      <candidateList>
        <item>，具</item>
      </candidateList>
      <explain/>
      <paraID>74A3BC7C</paraID>
      <start>18</start>
      <end>20</end>
      <status>modified</status>
      <modifiedWord>，具</modifiedWord>
      <trackRevisions>false</trackRevisions>
    </reviewItem>
    <reviewItem>
      <errorID>177b9315-2140-45df-934e-cc99a1ba7840</errorID>
      <errorWord>晰</errorWord>
      <group>L1_Word</group>
      <groupName>字词问题</groupName>
      <ability>L2_Typo</ability>
      <abilityName>字词错误</abilityName>
      <candidateList>
        <item>晰地</item>
      </candidateList>
      <explain/>
      <paraID>789329B3</paraID>
      <start>39</start>
      <end>41</end>
      <status>modified</status>
      <modifiedWord>晰地</modifiedWord>
      <trackRevisions>false</trackRevisions>
    </reviewItem>
    <reviewItem>
      <errorID>aad71279-4df6-4acf-aa31-76d780d0073b</errorID>
      <errorWord>世界观、人生观价值观</errorWord>
      <group>L1_Political</group>
      <groupName>政治性问题</groupName>
      <ability>L2_Keyword</ability>
      <abilityName>固定表述</abilityName>
      <candidateList>
        <item>世界观、人生观、价值观</item>
      </candidateList>
      <explain>注意检查当前固定表述标点是否使用规范。</explain>
      <paraID>30AF0C69</paraID>
      <start>10</start>
      <end>21</end>
      <status>modified</status>
      <modifiedWord>世界观、人生观、价值观</modifiedWord>
      <trackRevisions>false</trackRevisions>
    </reviewItem>
    <reviewItem>
      <errorID>18ce1d70-5ed8-42be-b69b-7668629673a0</errorID>
      <errorWord>培育和践行社会主义核心价值 观</errorWord>
      <group>L1_Political</group>
      <groupName>政治性问题</groupName>
      <ability>L2_Keyword</ability>
      <abilityName>固定表述</abilityName>
      <candidateList>
        <item>培育和践行社会主义核心价值观</item>
      </candidateList>
      <explain>词汇“培育和践行社会主义核心价值观”在特定场景下为固定表述形式，请确认此处的“培育和践行社会主义核心价值 观”是否存在不当。</explain>
      <paraID>68F71BAF</paraID>
      <start>33</start>
      <end>47</end>
      <status>modified</status>
      <modifiedWord>培育和践行社会主义核心价值观</modifiedWord>
      <trackRevisions>false</trackRevisions>
    </reviewItem>
    <reviewItem>
      <errorID>c2c6e275-a170-4b42-99c6-103a7a79d785</errorID>
      <errorWord>担当民族复兴大任时代新人的</errorWord>
      <group>L1_Political</group>
      <groupName>政治性问题</groupName>
      <ability>L2_Keyword</ability>
      <abilityName>固定表述</abilityName>
      <candidateList>
        <item>担当民族复兴大任的时代新人</item>
      </candidateList>
      <explain>词汇“担当民族复兴大任的时代新人”在特定场景下为固定表述形式，请确认此处的“担当民族复兴大任时代新人的”是否存在不当。</explain>
      <paraID>35E9A4D6</paraID>
      <start>7</start>
      <end>20</end>
      <status>modified</status>
      <modifiedWord>担当民族复兴大任的时代新人</modifiedWord>
      <trackRevisions>false</trackRevisions>
    </reviewItem>
    <reviewItem>
      <errorID>eb94148f-3b42-4f30-8073-36786ec7977f</errorID>
      <errorWord>担当复兴大任的时代新人</errorWord>
      <group>L1_Political</group>
      <groupName>政治性问题</groupName>
      <ability>L2_Keyword</ability>
      <abilityName>固定表述</abilityName>
      <candidateList>
        <item>担当民族复兴大任的时代新人</item>
      </candidateList>
      <explain>词汇“担当民族复兴大任的时代新人”在特定场景下为固定表述形式，请确认此处的“担当复兴大任的时代新人”是否存在不当。</explain>
      <paraID>787184CB</paraID>
      <start>76</start>
      <end>89</end>
      <status>modified</status>
      <modifiedWord>担当民族复兴大任的时代新人</modifiedWord>
      <trackRevisions>false</trackRevisions>
    </reviewItem>
    <reviewItem>
      <errorID>305906cb-9b5a-4c23-ba52-32691f17ab6c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3448FCB9</paraID>
      <start>110</start>
      <end>111</end>
      <status>ignored</status>
      <modifiedWord/>
      <trackRevisions>false</trackRevisions>
    </reviewItem>
    <reviewItem>
      <errorID>b6174a57-0e60-4a9d-b5c4-efad896a09e1</errorID>
      <errorWord>马克思主义理 论</errorWord>
      <group>L1_Political</group>
      <groupName>政治性问题</groupName>
      <ability>L2_Keyword</ability>
      <abilityName>固定表述</abilityName>
      <candidateList>
        <item>马克思主义理论</item>
      </candidateList>
      <explain>词汇“马克思主义理论”在特定场景下为固定表述形式，请确认此处的“马克思主义理 论”是否存在不当。</explain>
      <paraID>39C6A642</paraID>
      <start>7</start>
      <end>14</end>
      <status>modified</status>
      <modifiedWord>马克思主义理论</modifiedWord>
      <trackRevisions>false</trackRevisions>
    </reviewItem>
    <reviewItem>
      <errorID>89de3117-4c09-4a46-9cd1-e159de0cc56a</errorID>
      <errorWord>践</errorWord>
      <group>L1_Word</group>
      <groupName>字词问题</groupName>
      <ability>L2_Typo</ability>
      <abilityName>字词错误</abilityName>
      <candidateList>
        <item>践中</item>
      </candidateList>
      <explain/>
      <paraID>1E1C8A0D</paraID>
      <start>78</start>
      <end>80</end>
      <status>modified</status>
      <modifiedWord>践中</modifiedWord>
      <trackRevisions>false</trackRevisions>
    </reviewItem>
    <reviewItem>
      <errorID>8d202428-1edf-4241-93b4-d3fe224a4c87</errorID>
      <errorWord>四个意识</errorWord>
      <group>L1_Political</group>
      <groupName>政治性问题</groupName>
      <ability>L2_Keyword</ability>
      <abilityName>固定表述</abilityName>
      <candidateList>
        <item>‘四个意识’</item>
      </candidateList>
      <explain>注意检查当前固定表述标点是否使用规范。</explain>
      <paraID>  232CB8</paraID>
      <start>31</start>
      <end>35</end>
      <status>ignored</status>
      <modifiedWord/>
      <trackRevisions>false</trackRevisions>
    </reviewItem>
    <reviewItem>
      <errorID>1ac02a4d-a8e8-43c4-bbc4-6bd1830cd3ec</errorID>
      <errorWord>特色社会主义思想作为</errorWord>
      <group>L1_Word</group>
      <groupName>字词问题</groupName>
      <ability>L2_Typo</ability>
      <abilityName>字词错误</abilityName>
      <candidateList>
        <item>特色社会主义思想为</item>
      </candidateList>
      <explain/>
      <paraID> 303B3A5</paraID>
      <start>60</start>
      <end>69</end>
      <status>modified</status>
      <modifiedWord>特色社会主义思想为</modifiedWord>
      <trackRevisions>false</trackRevisions>
    </reviewItem>
    <reviewItem>
      <errorID>9f339c53-50d9-489f-a461-80327d386093</errorID>
      <errorWord>习近平新时代中 国特色社会主义思想</errorWord>
      <group>L1_Political</group>
      <groupName>政治性问题</groupName>
      <ability>L2_Keyword</ability>
      <abilityName>固定表述</abilityName>
      <candidateList>
        <item>习近平新时代中国特色社会主义思想</item>
      </candidateList>
      <explain>词汇“习近平新时代中国特色社会主义思想”在特定场景下为固定表述形式，请确认此处的“习近平新时代中 国特色社会主义思想”是否存在不当。</explain>
      <paraID>1201CB70</paraID>
      <start>5</start>
      <end>21</end>
      <status>modified</status>
      <modifiedWord>习近平新时代中国特色社会主义思想</modifiedWord>
      <trackRevisions>false</trackRevisions>
    </reviewItem>
    <reviewItem>
      <errorID>01527d6d-212a-42fe-8ec1-8a1871cfbcc3</errorID>
      <errorWord>社会主义现代化 强国</errorWord>
      <group>L1_Political</group>
      <groupName>政治性问题</groupName>
      <ability>L2_Keyword</ability>
      <abilityName>固定表述</abilityName>
      <candidateList>
        <item>社会主义现代化强国</item>
      </candidateList>
      <explain>词汇“社会主义现代化强国”在特定场景下为固定表述形式，请确认此处的“社会主义现代化 强国”是否存在不当。</explain>
      <paraID>1201CB70</paraID>
      <start>38</start>
      <end>47</end>
      <status>modified</status>
      <modifiedWord>社会主义现代化强国</modifiedWord>
      <trackRevisions>false</trackRevisions>
    </reviewItem>
    <reviewItem>
      <errorID>b26628ad-d4fb-46b7-a05a-86b54a585b23</errorID>
      <errorWord>树立“四个意识”</errorWord>
      <group>L1_Word</group>
      <groupName>字词问题</groupName>
      <ability>L2_Typo</ability>
      <abilityName>字词错误</abilityName>
      <candidateList>
        <item>增强“四个意识”</item>
      </candidateList>
      <explain/>
      <paraID> D631829</paraID>
      <start>13</start>
      <end>21</end>
      <status>modified</status>
      <modifiedWord>增强“四个意识”</modifiedWord>
      <trackRevisions>false</trackRevisions>
    </reviewItem>
    <reviewItem>
      <errorID>3b357106-1ccc-4fa9-b4c8-0272cf7e4107</errorID>
      <errorWord>坚定“四个自信”，</errorWord>
      <group>L1_Punc</group>
      <groupName>标点问题</groupName>
      <ability>L2_Punc</ability>
      <abilityName>标点符号检查</abilityName>
      <candidateList>
        <item>坚定“四个自信”、</item>
      </candidateList>
      <explain/>
      <paraID> D631829</paraID>
      <start>22</start>
      <end>31</end>
      <status>modified</status>
      <modifiedWord>坚定“四个自信”、</modifiedWord>
      <trackRevisions>false</trackRevisions>
    </reviewItem>
    <reviewItem>
      <errorID>03c01544-3f0d-4b5b-b6c3-6ed4841cbbf4</errorID>
      <errorWord>教育、科技人才</errorWord>
      <group>L1_Political</group>
      <groupName>政治性问题</groupName>
      <ability>L2_Keyword</ability>
      <abilityName>固定表述</abilityName>
      <candidateList>
        <item>教育、科技、人才</item>
      </candidateList>
      <explain>词汇“教育、科技、人才”在特定场景下为固定表述形式，请确认此处的“教育、科技人才”是否存在不当。</explain>
      <paraID>2A57C36E</paraID>
      <start>104</start>
      <end>112</end>
      <status>modified</status>
      <modifiedWord>教育、科技、人才</modifiedWord>
      <trackRevisions>false</trackRevisions>
    </reviewItem>
    <reviewItem>
      <errorID>bf48f7d5-e075-4c97-89c5-d5c85450aace</errorID>
      <errorWord>一国两制</errorWord>
      <group>L1_Political</group>
      <groupName>政治性问题</groupName>
      <ability>L2_Keyword</ability>
      <abilityName>固定表述</abilityName>
      <candidateList>
        <item>“一国两制”</item>
      </candidateList>
      <explain>注意检查当前固定表述标点是否使用规范。</explain>
      <paraID>2A57C36E</paraID>
      <start>198</start>
      <end>204</end>
      <status>modified</status>
      <modifiedWord>“一国两制”</modifiedWord>
      <trackRevisions>false</trackRevisions>
    </reviewItem>
    <reviewItem>
      <errorID>28a8a9ed-2f03-4b54-953e-64e4fd181b55</errorID>
      <errorWord>同</errorWord>
      <group>L1_Word</group>
      <groupName>字词问题</groupName>
      <ability>L2_Typo</ability>
      <abilityName>字词错误</abilityName>
      <candidateList>
        <item>同体</item>
      </candidateList>
      <explain/>
      <paraID>2A57C36E</paraID>
      <start>230</start>
      <end>232</end>
      <status>modified</status>
      <modifiedWord>同体</modifiedWord>
      <trackRevisions>false</trackRevisions>
    </reviewItem>
    <reviewItem>
      <errorID>6dcc5992-ab00-4d82-8211-fefac4dd310f</errorID>
      <errorWord>党的路线方针和政策</errorWord>
      <group>L1_Political</group>
      <groupName>政治性问题</groupName>
      <ability>L2_Keyword</ability>
      <abilityName>固定表述</abilityName>
      <candidateList>
        <item>党的路线方针政策</item>
      </candidateList>
      <explain>词汇“党的路线方针政策”在特定场景下为固定表述形式，请确认此处的“党的路线方针和政策”是否存在不当。</explain>
      <paraID>37B16A12</paraID>
      <start>30</start>
      <end>38</end>
      <status>modified</status>
      <modifiedWord>党的路线方针政策</modifiedWord>
      <trackRevisions>false</trackRevisions>
    </reviewItem>
    <reviewItem>
      <errorID>fbebe853-6920-4deb-a1db-15b3c5b40327</errorID>
      <errorWord>法</errorWord>
      <group>L1_Word</group>
      <groupName>字词问题</groupName>
      <ability>L2_Typo</ability>
      <abilityName>字词错误</abilityName>
      <candidateList>
        <item>法和</item>
      </candidateList>
      <explain/>
      <paraID>3FB0269C</paraID>
      <start>81</start>
      <end>83</end>
      <status>modified</status>
      <modifiedWord>法和</modifiedWord>
      <trackRevisions>false</trackRevisions>
    </reviewItem>
    <reviewItem>
      <errorID>05d8f28b-561b-4c95-8b44-2636f24496bb</errorID>
      <errorWord>以中国式现代化推进强国建设</errorWord>
      <group>L1_Political</group>
      <groupName>政治性问题</groupName>
      <ability>L2_Keyword</ability>
      <abilityName>固定表述</abilityName>
      <candidateList>
        <item>以中国式现代化全面推进强国建设</item>
      </candidateList>
      <explain>词汇“以中国式现代化全面推进强国建设”在特定场景下为固定表述形式，请确认此处的“以中国式现代化推进强国建设”是否存在不当。</explain>
      <paraID> 1B80DC2</paraID>
      <start>92</start>
      <end>107</end>
      <status>modified</status>
      <modifiedWord>以中国式现代化全面推进强国建设</modifiedWord>
      <trackRevisions>false</trackRevisions>
    </reviewItem>
    <reviewItem>
      <errorID>cc80471a-4cf6-4eae-a021-1cd1cefebb0c</errorID>
      <errorWord>统筹发展与安全</errorWord>
      <group>L1_Political</group>
      <groupName>政治性问题</groupName>
      <ability>L2_Unpolitical</ability>
      <abilityName>政治敏感错误</abilityName>
      <candidateList>
        <item>统筹发展和安全</item>
      </candidateList>
      <explain/>
      <paraID>6AD7E647</paraID>
      <start>137</start>
      <end>144</end>
      <status>modified</status>
      <modifiedWord>统筹发展和安全</modifiedWord>
      <trackRevisions>false</trackRevisions>
    </reviewItem>
    <reviewItem>
      <errorID>61ca19b5-2595-4754-8a86-943c5f9c1666</errorID>
      <errorWord>中国民族大家庭</errorWord>
      <group>L1_Political</group>
      <groupName>政治性问题</groupName>
      <ability>L2_Keyword</ability>
      <abilityName>固定表述</abilityName>
      <candidateList>
        <item>中华民族大家庭</item>
      </candidateList>
      <explain>词汇“中华民族大家庭”在特定场景下为固定表述形式，请确认此处的“中国民族大家庭”是否存在不当。</explain>
      <paraID>27A4E51C</paraID>
      <start>159</start>
      <end>166</end>
      <status>modified</status>
      <modifiedWord>中华民族大家庭</modifiedWord>
      <trackRevisions>false</trackRevisions>
    </reviewItem>
    <reviewItem>
      <errorID>e1755b3a-efb9-47fd-bcca-5d26742e0905</errorID>
      <errorWord>和</errorWord>
      <group>L1_Word</group>
      <groupName>字词问题</groupName>
      <ability>L2_Typo</ability>
      <abilityName>字词错误</abilityName>
      <candidateList>
        <item>和以</item>
      </candidateList>
      <explain/>
      <paraID> 97006A2</paraID>
      <start>110</start>
      <end>112</end>
      <status>modified</status>
      <modifiedWord>和以</modifiedWord>
      <trackRevisions>false</trackRevisions>
    </reviewItem>
    <reviewItem>
      <errorID>f6f6a7af-8567-4523-927c-ee6f505ec5a2</errorID>
      <errorWord>;</errorWord>
      <group>L1_Format</group>
      <groupName>格式问题</groupName>
      <ability>L2_HalfPunc</ability>
      <abilityName>全半角检查</abilityName>
      <candidateList>
        <item>；</item>
      </candidateList>
      <explain>文本全半角错误。</explain>
      <paraID>47F5DAD9</paraID>
      <start>69</start>
      <end>70</end>
      <status>modified</status>
      <modifiedWord>；</modifiedWord>
      <trackRevisions>false</trackRevisions>
    </reviewItem>
    <reviewItem>
      <errorID>11c98607-cfd1-49e4-a047-36fd92de8873</errorID>
      <errorWord>;</errorWord>
      <group>L1_Format</group>
      <groupName>格式问题</groupName>
      <ability>L2_HalfPunc</ability>
      <abilityName>全半角检查</abilityName>
      <candidateList>
        <item>；</item>
      </candidateList>
      <explain>文本全半角错误。</explain>
      <paraID>47F5DAD9</paraID>
      <start>84</start>
      <end>85</end>
      <status>modified</status>
      <modifiedWord>；</modifiedWord>
      <trackRevisions>false</trackRevisions>
    </reviewItem>
    <reviewItem>
      <errorID>16a88d45-06a8-4ff6-a5c0-3e41a113d73f</errorID>
      <errorWord>提高</errorWord>
      <group>L1_Grammar</group>
      <groupName>语法问题</groupName>
      <ability>L2_Grammar</ability>
      <abilityName>语法错误</abilityName>
      <candidateList>
        <item>增强</item>
      </candidateList>
      <explain>“提高～意识”搭配不当，建议修改为“增强～意识”。</explain>
      <paraID> 78E342E</paraID>
      <start>39</start>
      <end>41</end>
      <status>modified</status>
      <modifiedWord>增强</modifiedWord>
      <trackRevisions>false</trackRevisions>
    </reviewItem>
    <reviewItem>
      <errorID>1788043d-85db-4bee-8f08-04c24c8398ab</errorID>
      <errorWord>;</errorWord>
      <group>L1_Format</group>
      <groupName>格式问题</groupName>
      <ability>L2_HalfPunc</ability>
      <abilityName>全半角检查</abilityName>
      <candidateList>
        <item>；</item>
      </candidateList>
      <explain>文本全半角错误。</explain>
      <paraID> 78E342E</paraID>
      <start>47</start>
      <end>48</end>
      <status>modified</status>
      <modifiedWord>；</modifiedWord>
      <trackRevisions>false</trackRevisions>
    </reviewItem>
    <reviewItem>
      <errorID>b962b305-a576-4edf-aba2-23ac6f398fa2</errorID>
      <errorWord>;</errorWord>
      <group>L1_Format</group>
      <groupName>格式问题</groupName>
      <ability>L2_HalfPunc</ability>
      <abilityName>全半角检查</abilityName>
      <candidateList>
        <item>；</item>
      </candidateList>
      <explain>文本全半角错误。</explain>
      <paraID> 78E342E</paraID>
      <start>64</start>
      <end>65</end>
      <status>modified</status>
      <modifiedWord>；</modifiedWord>
      <trackRevisions>false</trackRevisions>
    </reviewItem>
    <reviewItem>
      <errorID>b1a3c316-bf57-4d5e-b203-d02f6125952f</errorID>
      <errorWord>的行</errorWord>
      <group>L1_Word</group>
      <groupName>字词问题</groupName>
      <ability>L2_Typo</ability>
      <abilityName>字词错误</abilityName>
      <candidateList>
        <item>的</item>
      </candidateList>
      <explain>“的”常用于连接修饰语与名词性中心语，表示属性、所属或描述。</explain>
      <paraID> 78E342E</paraID>
      <start>69</start>
      <end>70</end>
      <status>modified</status>
      <modifiedWord>的</modifiedWord>
      <trackRevisions>false</trackRevisions>
    </reviewItem>
    <reviewItem>
      <errorID>850a7d6c-b6d2-473e-baa2-9e95afdc73f5</errorID>
      <errorWord>学生将</errorWord>
      <group>L1_Word</group>
      <groupName>字词问题</groupName>
      <ability>L2_Typo</ability>
      <abilityName>字词错误</abilityName>
      <candidateList>
        <item>学生</item>
      </candidateList>
      <explain/>
      <paraID> 78E342E</paraID>
      <start>80</start>
      <end>82</end>
      <status>modified</status>
      <modifiedWord>学生</modifiedWord>
      <trackRevisions>false</trackRevisions>
    </reviewItem>
    <reviewItem>
      <errorID>08879481-045b-437b-a06f-ad3580d2bd85</errorID>
      <errorWord>;</errorWord>
      <group>L1_Format</group>
      <groupName>格式问题</groupName>
      <ability>L2_HalfPunc</ability>
      <abilityName>全半角检查</abilityName>
      <candidateList>
        <item>；</item>
      </candidateList>
      <explain>文本全半角错误。</explain>
      <paraID> 78E342E</paraID>
      <start>111</start>
      <end>112</end>
      <status>modified</status>
      <modifiedWord>；</modifiedWord>
      <trackRevisions>false</trackRevisions>
    </reviewItem>
    <reviewItem>
      <errorID>a200bf71-db60-4d91-b155-4767bb7fa0de</errorID>
      <errorWord>;</errorWord>
      <group>L1_Format</group>
      <groupName>格式问题</groupName>
      <ability>L2_HalfPunc</ability>
      <abilityName>全半角检查</abilityName>
      <candidateList>
        <item>；</item>
      </candidateList>
      <explain>文本全半角错误。</explain>
      <paraID> 78E342E</paraID>
      <start>151</start>
      <end>152</end>
      <status>modified</status>
      <modifiedWord>；</modifiedWord>
      <trackRevisions>false</trackRevisions>
    </reviewItem>
    <reviewItem>
      <errorID>779e5886-75ca-41b7-8f8b-aa4cd3ca07ab</errorID>
      <errorWord>学生将</errorWord>
      <group>L1_Word</group>
      <groupName>字词问题</groupName>
      <ability>L2_Typo</ability>
      <abilityName>字词错误</abilityName>
      <candidateList>
        <item>学生</item>
      </candidateList>
      <explain/>
      <paraID> 78E342E</paraID>
      <start>210</start>
      <end>212</end>
      <status>modified</status>
      <modifiedWord>学生</modifiedWord>
      <trackRevisions>false</trackRevisions>
    </reviewItem>
    <reviewItem>
      <errorID>1b4a1bee-8c2f-40da-a0f7-c9c0cfebf5a2</errorID>
      <errorWord>;</errorWord>
      <group>L1_Format</group>
      <groupName>格式问题</groupName>
      <ability>L2_HalfPunc</ability>
      <abilityName>全半角检查</abilityName>
      <candidateList>
        <item>；</item>
      </candidateList>
      <explain>文本全半角错误。</explain>
      <paraID> 78E342E</paraID>
      <start>245</start>
      <end>246</end>
      <status>modified</status>
      <modifiedWord>；</modifiedWord>
      <trackRevisions>false</trackRevisions>
    </reviewItem>
    <reviewItem>
      <errorID>a0a088bf-1933-4784-9ece-ce34c077bba1</errorID>
      <errorWord>集体主义、社会主义、爱国主义</errorWord>
      <group>L1_Political</group>
      <groupName>政治性问题</groupName>
      <ability>L2_Keyword</ability>
      <abilityName>固定表述</abilityName>
      <candidateList>
        <item>爱国主义、集体主义、社会主义</item>
      </candidateList>
      <explain>词汇“爱国主义、集体主义、社会主义”在特定场景下为固定表述形式，请确认此处的“集体主义、社会主义、爱国主义”是否存在不当。</explain>
      <paraID> 78E342E</paraID>
      <start>284</start>
      <end>298</end>
      <status>modified</status>
      <modifiedWord>爱国主义、集体主义、社会主义</modifiedWord>
      <trackRevisions>false</trackRevisions>
    </reviewItem>
    <reviewItem>
      <errorID>494a4cae-a436-4e5d-be75-85a8af1ee440</errorID>
      <errorWord>;</errorWord>
      <group>L1_Format</group>
      <groupName>格式问题</groupName>
      <ability>L2_HalfPunc</ability>
      <abilityName>全半角检查</abilityName>
      <candidateList>
        <item>；</item>
      </candidateList>
      <explain>文本全半角错误。</explain>
      <paraID> 78E342E</paraID>
      <start>368</start>
      <end>369</end>
      <status>modified</status>
      <modifiedWord>；</modifiedWord>
      <trackRevisions>false</trackRevisions>
    </reviewItem>
    <reviewItem>
      <errorID>82eadba7-bdd4-409d-8a45-0c3cc4365ca2</errorID>
      <errorWord>;</errorWord>
      <group>L1_Format</group>
      <groupName>格式问题</groupName>
      <ability>L2_HalfPunc</ability>
      <abilityName>全半角检查</abilityName>
      <candidateList>
        <item>；</item>
      </candidateList>
      <explain>文本全半角错误。</explain>
      <paraID> 78E342E</paraID>
      <start>431</start>
      <end>432</end>
      <status>modified</status>
      <modifiedWord>；</modifiedWord>
      <trackRevisions>false</trackRevisions>
    </reviewItem>
    <reviewItem>
      <errorID>6202b867-e983-41c3-a936-234498e67d62</errorID>
      <errorWord>讲述中国故事</errorWord>
      <group>L1_Political</group>
      <groupName>政治性问题</groupName>
      <ability>L2_Keyword</ability>
      <abilityName>固定表述</abilityName>
      <candidateList>
        <item>讲好中国故事</item>
      </candidateList>
      <explain>词汇“讲好中国故事”在特定场景下为固定表述形式，请确认此处的“讲述中国故事”是否存在不当。</explain>
      <paraID>7100484D</paraID>
      <start>95</start>
      <end>101</end>
      <status>modified</status>
      <modifiedWord>讲好中国故事</modifiedWord>
      <trackRevisions>false</trackRevisions>
    </reviewItem>
    <reviewItem>
      <errorID>de0d0d7d-5b38-48b9-90f3-fbdfd25df9dc</errorID>
      <errorWord>文化中</errorWord>
      <group>L1_Word</group>
      <groupName>字词问题</groupName>
      <ability>L2_Typo</ability>
      <abilityName>字词错误</abilityName>
      <candidateList>
        <item>文化</item>
      </candidateList>
      <explain/>
      <paraID>73A60D78</paraID>
      <start>33</start>
      <end>35</end>
      <status>modified</status>
      <modifiedWord>文化</modifiedWord>
      <trackRevisions>false</trackRevisions>
    </reviewItem>
    <reviewItem>
      <errorID>115604dd-4315-40be-b293-8d0fc7021f09</errorID>
      <errorWord>生</errorWord>
      <group>L1_Word</group>
      <groupName>字词问题</groupName>
      <ability>L2_Typo</ability>
      <abilityName>字词错误</abilityName>
      <candidateList>
        <item>生在</item>
      </candidateList>
      <explain/>
      <paraID>7BCFE275</paraID>
      <start>136</start>
      <end>138</end>
      <status>modified</status>
      <modifiedWord>生在</modifiedWord>
      <trackRevisions>false</trackRevisions>
    </reviewItem>
    <reviewItem>
      <errorID>8a87a1d7-b8ff-401f-8848-d03ffd2130a2</errorID>
      <errorWord>调试</errorWord>
      <group>L1_Word</group>
      <groupName>字词问题</groupName>
      <ability>L2_Typo</ability>
      <abilityName>字词错误</abilityName>
      <candidateList>
        <item>调适</item>
      </candidateList>
      <explain/>
      <paraID>53AA6216</paraID>
      <start>42</start>
      <end>44</end>
      <status>modified</status>
      <modifiedWord>调适</modifiedWord>
      <trackRevisions>false</trackRevisions>
    </reviewItem>
    <reviewItem>
      <errorID>d86ae195-165a-4517-a30b-682922a54366</errorID>
      <errorWord>好</errorWord>
      <group>L1_Word</group>
      <groupName>字词问题</groupName>
      <ability>L2_Typo</ability>
      <abilityName>字词错误</abilityName>
      <candidateList>
        <item>好地</item>
      </candidateList>
      <explain/>
      <paraID>617A9272</paraID>
      <start>51</start>
      <end>53</end>
      <status>modified</status>
      <modifiedWord>好地</modifiedWord>
      <trackRevisions>false</trackRevisions>
    </reviewItem>
    <reviewItem>
      <errorID>dd2cc447-526f-4abe-8981-309af936c4bb</errorID>
      <errorWord>获</errorWord>
      <group>L1_Word</group>
      <groupName>字词问题</groupName>
      <ability>L2_Typo</ability>
      <abilityName>字词错误</abilityName>
      <candidateList>
        <item>获得</item>
      </candidateList>
      <explain>〈动〉取得；得到（多用于抽象事物）：～好评｜～宝贵的经验｜～显著的成绩。</explain>
      <paraID>71512CB8</paraID>
      <start>37</start>
      <end>39</end>
      <status>modified</status>
      <modifiedWord>获得</modifiedWord>
      <trackRevisions>false</trackRevisions>
    </reviewItem>
    <reviewItem>
      <errorID>9861a46b-b225-4484-97d8-564ee8d3f540</errorID>
      <errorWord>法</errorWord>
      <group>L1_Word</group>
      <groupName>字词问题</groupName>
      <ability>L2_Typo</ability>
      <abilityName>字词错误</abilityName>
      <candidateList>
        <item>法和</item>
      </candidateList>
      <explain/>
      <paraID>65A83C41</paraID>
      <start>16</start>
      <end>18</end>
      <status>modified</status>
      <modifiedWord>法和</modifiedWord>
      <trackRevisions>false</trackRevisions>
    </reviewItem>
    <reviewItem>
      <errorID>817a7b64-b2c8-49fe-a99b-de58f4c08620</errorID>
      <errorWord>和持续发展</errorWord>
      <group>L1_Word</group>
      <groupName>字词问题</groupName>
      <ability>L2_Typo</ability>
      <abilityName>字词错误</abilityName>
      <candidateList>
        <item>和可持续发展</item>
      </candidateList>
      <explain/>
      <paraID>3124EC01</paraID>
      <start>73</start>
      <end>79</end>
      <status>modified</status>
      <modifiedWord>和可持续发展</modifiedWord>
      <trackRevisions>false</trackRevisions>
    </reviewItem>
    <reviewItem>
      <errorID>9f184f79-50fa-4dee-9764-85d4653f3d56</errorID>
      <errorWord>基本慨念</errorWord>
      <group>L1_Word</group>
      <groupName>字词问题</groupName>
      <ability>L2_Typo</ability>
      <abilityName>字词错误</abilityName>
      <candidateList>
        <item>基本概念</item>
      </candidateList>
      <explain/>
      <paraID>14D0402C</paraID>
      <start>21</start>
      <end>25</end>
      <status>modified</status>
      <modifiedWord>基本概念</modifiedWord>
      <trackRevisions>false</trackRevisions>
    </reviewItem>
    <reviewItem>
      <errorID>bb0f74c9-c797-4670-94c9-a08922d31e6b</errorID>
      <errorWord>辨证</errorWord>
      <group>L1_Word</group>
      <groupName>字词问题</groupName>
      <ability>L2_Typo</ability>
      <abilityName>字词错误</abilityName>
      <candidateList>
        <item>辩证</item>
      </candidateList>
      <explain>❶〈动〉辨析考证：反复～。也作辨证。❷〈形〉合乎辩证法的：～关系｜～的统一。</explain>
      <paraID>41897733</paraID>
      <start>18</start>
      <end>20</end>
      <status>modified</status>
      <modifiedWord>辩证</modifiedWord>
      <trackRevisions>false</trackRevisions>
    </reviewItem>
    <reviewItem>
      <errorID>bf1a8821-20a6-4910-aa85-d956cc70973f</errorID>
      <errorWord>党史、新中国史、改革开放史社会主义发展史</errorWord>
      <group>L1_Political</group>
      <groupName>政治性问题</groupName>
      <ability>L2_Keyword</ability>
      <abilityName>固定表述</abilityName>
      <candidateList>
        <item>党史、新中国史、改革开放史、社会主义发展史</item>
      </candidateList>
      <explain>注意检查当前固定表述标点是否使用规范。</explain>
      <paraID>58A90180</paraID>
      <start>4</start>
      <end>25</end>
      <status>modified</status>
      <modifiedWord>党史、新中国史、改革开放史、社会主义发展史</modifiedWord>
      <trackRevisions>false</trackRevisions>
    </reviewItem>
    <reviewItem>
      <errorID>0ee7ba8a-8a36-46c8-856d-01c772ba1816</errorID>
      <errorWord>党史教育</errorWord>
      <group>L1_Word</group>
      <groupName>字词问题</groupName>
      <ability>L2_Typo</ability>
      <abilityName>字词错误</abilityName>
      <candidateList>
        <item>党史学习教育</item>
      </candidateList>
      <explain/>
      <paraID> 97EDE79</paraID>
      <start>195</start>
      <end>201</end>
      <status>modified</status>
      <modifiedWord>党史学习教育</modifiedWord>
      <trackRevisions>false</trackRevisions>
    </reviewItem>
    <reviewItem>
      <errorID>a58b2092-91fd-46b3-81c8-f9f628767d16</errorID>
      <errorWord>党史教育</errorWord>
      <group>L1_Word</group>
      <groupName>字词问题</groupName>
      <ability>L2_Typo</ability>
      <abilityName>字词错误</abilityName>
      <candidateList>
        <item>党史学习教育</item>
      </candidateList>
      <explain/>
      <paraID> ECDFC7F</paraID>
      <start>3</start>
      <end>9</end>
      <status>modified</status>
      <modifiedWord>党史学习教育</modifiedWord>
      <trackRevisions>false</trackRevisions>
    </reviewItem>
    <reviewItem>
      <errorID>af40523b-c514-4d4b-b7f9-3bf61c90827b</errorID>
      <errorWord>读原著学原文悟原理</errorWord>
      <group>L1_Political</group>
      <groupName>政治性问题</groupName>
      <ability>L2_Keyword</ability>
      <abilityName>固定表述</abilityName>
      <candidateList>
        <item>读原著、学原文、悟原理</item>
      </candidateList>
      <explain>注意检查当前固定表述标点是否使用规范。</explain>
      <paraID> ECDFC7F</paraID>
      <start>137</start>
      <end>148</end>
      <status>modified</status>
      <modifiedWord>读原著、学原文、悟原理</modifiedWord>
      <trackRevisions>false</trackRevisions>
    </reviewItem>
    <reviewItem>
      <errorID>1ce8be22-2045-48f4-869e-b97d2e8b31ac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2B0C58D5</paraID>
      <start>9</start>
      <end>10</end>
      <status>modified</status>
      <modifiedWord>地</modifiedWord>
      <trackRevisions>false</trackRevisions>
    </reviewItem>
    <reviewItem>
      <errorID>6a3b12f4-6715-41cb-bcf4-adcd2150aa52</errorID>
      <errorWord>基木</errorWord>
      <group>L1_Word</group>
      <groupName>字词问题</groupName>
      <ability>L2_Typo</ability>
      <abilityName>字词错误</abilityName>
      <candidateList>
        <item>基本</item>
      </candidateList>
      <explain>❶〈名〉根本：人民是国家的～。❷〈形〉属性词。根本的：～矛盾｜～原理。❸〈形〉属性词。主要的：～条件｜～群众。❹〈副〉大体上：质量～合格｜大坝工程已经～完成。</explain>
      <paraID>15580371</paraID>
      <start>13</start>
      <end>15</end>
      <status>modified</status>
      <modifiedWord>基本</modifiedWord>
      <trackRevisions>false</trackRevisions>
    </reviewItem>
    <reviewItem>
      <errorID>7f266302-c05a-465e-b6d2-7474e53a69dd</errorID>
      <errorWord>:</errorWord>
      <group>L1_Format</group>
      <groupName>格式问题</groupName>
      <ability>L2_HalfPunc</ability>
      <abilityName>全半角检查</abilityName>
      <candidateList>
        <item>：</item>
      </candidateList>
      <explain>文本全半角错误。</explain>
      <paraID>15580371</paraID>
      <start>26</start>
      <end>27</end>
      <status>modified</status>
      <modifiedWord>：</modifiedWord>
      <trackRevisions>false</trackRevisions>
    </reviewItem>
    <reviewItem>
      <errorID>15f92411-4a23-420a-8fd5-e1cddc080083</errorID>
      <errorWord>力</errorWord>
      <group>L1_Word</group>
      <groupName>字词问题</groupName>
      <ability>L2_Typo</ability>
      <abilityName>字词错误</abilityName>
      <candidateList>
        <item>力和</item>
      </candidateList>
      <explain/>
      <paraID>14A10678</paraID>
      <start>14</start>
      <end>16</end>
      <status>modified</status>
      <modifiedWord>力和</modifiedWord>
      <trackRevisions>false</trackRevisions>
    </reviewItem>
    <reviewItem>
      <errorID>15509bb8-cce1-42b1-8c8f-cb253b298c85</errorID>
      <errorWord>、等</errorWord>
      <group>L1_Punc</group>
      <groupName>标点问题</groupName>
      <ability>L2_Punc</ability>
      <abilityName>标点符号检查</abilityName>
      <candidateList>
        <item>等</item>
      </candidateList>
      <explain>“及”“和”“等”连词前不宜使用顿号，建议删除（或使用逗号）。</explain>
      <paraID>56C0B61A</paraID>
      <start>106</start>
      <end>107</end>
      <status>modified</status>
      <modifiedWord>等</modifiedWord>
      <trackRevisions>false</trackRevisions>
    </reviewItem>
    <reviewItem>
      <errorID>0bbd467f-e71a-4545-9c12-8ce330908b2c</errorID>
      <errorWord>；</errorWord>
      <group>L1_Word</group>
      <groupName>字词问题</groupName>
      <ability>L2_Typo</ability>
      <abilityName>字词错误</abilityName>
      <candidateList>
        <item>；在</item>
      </candidateList>
      <explain/>
      <paraID>26BE8667</paraID>
      <start>45</start>
      <end>47</end>
      <status>modified</status>
      <modifiedWord>；在</modifiedWord>
      <trackRevisions>false</trackRevisions>
    </reviewItem>
    <reviewItem>
      <errorID>f09b456d-c2ff-4102-bb3d-a52ef490da9f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224C0F6</paraID>
      <start>113</start>
      <end>114</end>
      <status>modified</status>
      <modifiedWord>地</modifiedWord>
      <trackRevisions>false</trackRevisions>
    </reviewItem>
    <reviewItem>
      <errorID>4a6e38b4-5deb-44de-a0e9-6598d8fe2ac1</errorID>
      <errorWord>提高</errorWord>
      <group>L1_Grammar</group>
      <groupName>语法问题</groupName>
      <ability>L2_Grammar</ability>
      <abilityName>语法错误</abilityName>
      <candidateList>
        <item>增强</item>
      </candidateList>
      <explain>“提高～意识”搭配不当，建议修改为“增强～意识”。</explain>
      <paraID>3EFA86A2</paraID>
      <start>11</start>
      <end>13</end>
      <status>modified</status>
      <modifiedWord>增强</modifiedWord>
      <trackRevisions>false</trackRevisions>
    </reviewItem>
    <reviewItem>
      <errorID>d1aa7f72-0a56-4c6d-9c44-29d6b0e4bf91</errorID>
      <errorWord>全心全意为慧者服务</errorWord>
      <group>L1_Political</group>
      <groupName>政治性问题</groupName>
      <ability>L2_Keyword</ability>
      <abilityName>固定表述</abilityName>
      <candidateList>
        <item>全心全意为人民服务</item>
      </candidateList>
      <explain>词汇“全心全意为人民服务”在特定场景下为固定表述形式，请确认此处的“全心全意为慧者服务”是否存在不当。</explain>
      <paraID>42CBDCF0</paraID>
      <start>40</start>
      <end>49</end>
      <status>modified</status>
      <modifiedWord>全心全意为人民服务</modifiedWord>
      <trackRevisions>false</trackRevisions>
    </reviewItem>
    <reviewItem>
      <errorID>69d4cc3a-0569-458a-b7c4-03c84e966e3d</errorID>
      <errorWord>徳</errorWord>
      <group>L1_Word</group>
      <groupName>字词问题</groupName>
      <ability>L2_Variant</ability>
      <abilityName>异形词</abilityName>
      <candidateList>
        <item>德</item>
      </candidateList>
      <explain>词汇[徳]的规范词形写作[德]。</explain>
      <paraID>42CBDCF0</paraID>
      <start>53</start>
      <end>54</end>
      <status>modified</status>
      <modifiedWord>德</modifiedWord>
      <trackRevisions>false</trackRevisions>
    </reviewItem>
    <reviewItem>
      <errorID>9303df12-7036-449d-956d-346951e1cc7d</errorID>
      <errorWord>其它学科</errorWord>
      <group>L1_Word</group>
      <groupName>字词问题</groupName>
      <ability>L2_Alias</ability>
      <abilityName>也作/曾用词</abilityName>
      <candidateList>
        <item>其他学科</item>
      </candidateList>
      <explain>词汇[其它学科]为不规范表述或旧称，其规范书面表述为[其他学科]。</explain>
      <paraID>5F2D1DE5</paraID>
      <start>150</start>
      <end>154</end>
      <status>modified</status>
      <modifiedWord>其他学科</modifiedWord>
      <trackRevisions>false</trackRevisions>
    </reviewItem>
    <reviewItem>
      <errorID>00e32c5c-1775-4841-b62c-e5e712958f19</errorID>
      <errorWord>必须</errorWord>
      <group>L1_Word</group>
      <groupName>字词问题</groupName>
      <ability>L2_Typo</ability>
      <abilityName>字词错误</abilityName>
      <candidateList>
        <item>必需</item>
      </candidateList>
      <explain>〈动〉一定要有；不可少：日用～品｜煤铁等是发展工业所～的原料。</explain>
      <paraID>4193CF26</paraID>
      <start>25</start>
      <end>27</end>
      <status>modified</status>
      <modifiedWord>必需</modifiedWord>
      <trackRevisions>false</trackRevisions>
    </reviewItem>
    <reviewItem>
      <errorID>97d0bced-afac-4f7c-8165-2c658cdea8d1</errorID>
      <errorWord>他的</errorWord>
      <group>L1_Word</group>
      <groupName>字词问题</groupName>
      <ability>L2_Typo</ability>
      <abilityName>字词错误</abilityName>
      <candidateList>
        <item>他</item>
      </candidateList>
      <explain/>
      <paraID>4193CF26</paraID>
      <start>183</start>
      <end>184</end>
      <status>modified</status>
      <modifiedWord>他</modifiedWord>
      <trackRevisions>false</trackRevisions>
    </reviewItem>
    <reviewItem>
      <errorID>82fa4191-3d2a-4047-9ac7-334d414215bd</errorID>
      <errorWord>;</errorWord>
      <group>L1_Format</group>
      <groupName>格式问题</groupName>
      <ability>L2_HalfPunc</ability>
      <abilityName>全半角检查</abilityName>
      <candidateList>
        <item>；</item>
      </candidateList>
      <explain>文本全半角错误。</explain>
      <paraID>4193CF26</paraID>
      <start>268</start>
      <end>269</end>
      <status>modified</status>
      <modifiedWord>；</modifiedWord>
      <trackRevisions>false</trackRevisions>
    </reviewItem>
    <reviewItem>
      <errorID>3d15a52a-04f0-42c1-b705-506493237647</errorID>
      <errorWord>材料材料</errorWord>
      <group>L1_Word</group>
      <groupName>字词问题</groupName>
      <ability>L2_Typo</ability>
      <abilityName>字词错误</abilityName>
      <candidateList>
        <item>材料</item>
      </candidateList>
      <explain>〈名〉❶可以直接造成成品的东西，如建筑用的砖瓦、纺织用的棉纱等：建筑～｜做一套衣服，这点～不够。❷提供著作内容的事物：他打算写一部小说，正在搜集～。❸可供参考的事实：人事～。❹比喻适于做某种事情的人才：我五音不全，不是唱歌的～。</explain>
      <paraID>484D380F</paraID>
      <start>66</start>
      <end>68</end>
      <status>modified</status>
      <modifiedWord>材料</modifiedWord>
      <trackRevisions>false</trackRevisions>
    </reviewItem>
    <reviewItem>
      <errorID>b38f9e95-b0f0-40f4-912a-0b7c132901a6</errorID>
      <errorWord>，</errorWord>
      <group>L1_Word</group>
      <groupName>字词问题</groupName>
      <ability>L2_Typo</ability>
      <abilityName>字词错误</abilityName>
      <candidateList>
        <item>，让</item>
      </candidateList>
      <explain/>
      <paraID> A35BDB3</paraID>
      <start>14</start>
      <end>16</end>
      <status>modified</status>
      <modifiedWord>，让</modifiedWord>
      <trackRevisions>false</trackRevisions>
    </reviewItem>
    <reviewItem>
      <errorID>10486740-679a-4423-bdfc-403ce0e5a304</errorID>
      <errorWord>世界观、价值观、人生观</errorWord>
      <group>L1_Political</group>
      <groupName>政治性问题</groupName>
      <ability>L2_Keyword</ability>
      <abilityName>固定表述</abilityName>
      <candidateList>
        <item>世界观、人生观、价值观</item>
      </candidateList>
      <explain>词汇“世界观、人生观、价值观”在特定场景下为固定表述形式，请确认此处的“世界观、价值观、人生观”是否存在不当。</explain>
      <paraID> A35BDB3</paraID>
      <start>102</start>
      <end>113</end>
      <status>modified</status>
      <modifiedWord>世界观、人生观、价值观</modifiedWord>
      <trackRevisions>false</trackRevisions>
    </reviewItem>
    <reviewItem>
      <errorID>da9a43ff-74fc-431b-bbcc-b2b947185bc6</errorID>
      <errorWord>能力的</errorWord>
      <group>L1_Word</group>
      <groupName>字词问题</groupName>
      <ability>L2_Typo</ability>
      <abilityName>字词错误</abilityName>
      <candidateList>
        <item>能力</item>
      </candidateList>
      <explain>〈名〉能胜任某项任务的主观条件：～强｜他经验丰富，有～担当这项工作。</explain>
      <paraID> A35BDB3</paraID>
      <start>146</start>
      <end>148</end>
      <status>modified</status>
      <modifiedWord>能力</modifiedWord>
      <trackRevisions>false</trackRevisions>
    </reviewItem>
    <reviewItem>
      <errorID>9cc8843c-1d6f-4d7b-a81f-78b294b903cb</errorID>
      <errorWord>-</errorWord>
      <group>L1_Format</group>
      <groupName>格式问题</groupName>
      <ability>L2_HalfPunc</ability>
      <abilityName>全半角检查</abilityName>
      <candidateList>
        <item>－</item>
      </candidateList>
      <explain>文本全半角错误。</explain>
      <paraID>2B5F1175</paraID>
      <start>66</start>
      <end>67</end>
      <status>modified</status>
      <modifiedWord>－</modifiedWord>
      <trackRevisions>false</trackRevisions>
    </reviewItem>
    <reviewItem>
      <errorID>c419d8fb-1dbb-48aa-963e-92e34a66d75f</errorID>
      <errorWord>-</errorWord>
      <group>L1_Format</group>
      <groupName>格式问题</groupName>
      <ability>L2_HalfPunc</ability>
      <abilityName>全半角检查</abilityName>
      <candidateList>
        <item>－</item>
      </candidateList>
      <explain>文本全半角错误。</explain>
      <paraID>2B5F1175</paraID>
      <start>69</start>
      <end>70</end>
      <status>modified</status>
      <modifiedWord>－</modifiedWord>
      <trackRevisions>false</trackRevisions>
    </reviewItem>
    <reviewItem>
      <errorID>563ff785-cf4d-4c32-9c7f-245db796359b</errorID>
      <errorWord>-</errorWord>
      <group>L1_Format</group>
      <groupName>格式问题</groupName>
      <ability>L2_HalfPunc</ability>
      <abilityName>全半角检查</abilityName>
      <candidateList>
        <item>－</item>
      </candidateList>
      <explain>文本全半角错误。</explain>
      <paraID>2B5F1175</paraID>
      <start>72</start>
      <end>73</end>
      <status>modified</status>
      <modifiedWord>－</modifiedWord>
      <trackRevisions>false</trackRevisions>
    </reviewItem>
    <reviewItem>
      <errorID>f50c9056-e7f6-4e3e-840e-01bccc9f11b3</errorID>
      <errorWord>;</errorWord>
      <group>L1_Format</group>
      <groupName>格式问题</groupName>
      <ability>L2_HalfPunc</ability>
      <abilityName>全半角检查</abilityName>
      <candidateList>
        <item>；</item>
      </candidateList>
      <explain>文本全半角错误。</explain>
      <paraID> 418E67C</paraID>
      <start>64</start>
      <end>65</end>
      <status>modified</status>
      <modifiedWord>；</modifiedWord>
      <trackRevisions>false</trackRevisions>
    </reviewItem>
    <reviewItem>
      <errorID>0ddf1ab3-96ae-4a0e-a00a-a8703cada16e</errorID>
      <errorWord>、</errorWord>
      <group>L1_Punc</group>
      <groupName>标点问题</groupName>
      <ability>L2_Punc</ability>
      <abilityName>标点符号检查</abilityName>
      <candidateList/>
      <explain/>
      <paraID>421D94ED</paraID>
      <start>0</start>
      <end>1</end>
      <status>ignored</status>
      <modifiedWord/>
      <trackRevisions>false</trackRevisions>
    </reviewItem>
    <reviewItem>
      <errorID>15b88cf8-2ab6-4302-b001-6d99a6e295e9</errorID>
      <errorWord>》</errorWord>
      <group>L1_Word</group>
      <groupName>字词问题</groupName>
      <ability>L2_Typo</ability>
      <abilityName>字词错误</abilityName>
      <candidateList>
        <item>》等</item>
      </candidateList>
      <explain/>
      <paraID>   A8891</paraID>
      <start>40</start>
      <end>42</end>
      <status>modified</status>
      <modifiedWord>》等</modifiedWord>
      <trackRevisions>false</trackRevisions>
    </reviewItem>
    <reviewItem>
      <errorID>6c226eb8-4279-444a-a33c-cf9e93ca1b59</errorID>
      <errorWord>质量管控体系</errorWord>
      <group>L1_Political</group>
      <groupName>政治性问题</groupName>
      <ability>L2_Keyword</ability>
      <abilityName>固定表述</abilityName>
      <candidateList>
        <item>质量管理体系</item>
      </candidateList>
      <explain>词汇“质量管理体系”在特定场景下为固定表述形式，请确认此处的“质量管控体系”是否存在不当。</explain>
      <paraID>2B45F7CC</paraID>
      <start>91</start>
      <end>97</end>
      <status>modified</status>
      <modifiedWord>质量管理体系</modifiedWord>
      <trackRevisions>false</trackRevisions>
    </reviewItem>
    <reviewItem>
      <errorID>69b4c94c-0e2c-4b45-8cde-9296f8afff4e</errorID>
      <errorWord>，</errorWord>
      <group>L1_Word</group>
      <groupName>字词问题</groupName>
      <ability>L2_Typo</ability>
      <abilityName>字词错误</abilityName>
      <candidateList>
        <item>，有</item>
      </candidateList>
      <explain/>
      <paraID>48DE6BBA</paraID>
      <start>69</start>
      <end>71</end>
      <status>modified</status>
      <modifiedWord>，有</modifiedWord>
      <trackRevisions>false</trackRevisions>
    </reviewItem>
    <reviewItem>
      <errorID>0a6f67e9-6c4a-4b31-9ccf-16f0017f0568</errorID>
      <errorWord>，</errorWord>
      <group>L1_Word</group>
      <groupName>字词问题</groupName>
      <ability>L2_Typo</ability>
      <abilityName>字词错误</abilityName>
      <candidateList>
        <item>，具</item>
      </candidateList>
      <explain/>
      <paraID>55B744CC</paraID>
      <start>56</start>
      <end>58</end>
      <status>modified</status>
      <modifiedWord>，具</modifiedWord>
      <trackRevisions>false</trackRevisions>
    </reviewItem>
    <reviewItem>
      <errorID>56685cb6-8cfa-4087-b619-e7e66587f047</errorID>
      <errorWord>小班制教学</errorWord>
      <group>L1_Political</group>
      <groupName>政治性问题</groupName>
      <ability>L2_Keyword</ability>
      <abilityName>固定表述</abilityName>
      <candidateList>
        <item>小班化教学</item>
      </candidateList>
      <explain>词汇“小班化教学”在特定场景下为固定表述形式，请确认此处的“小班制教学”是否存在不当。</explain>
      <paraID>1530C96E</paraID>
      <start>95</start>
      <end>100</end>
      <status>modified</status>
      <modifiedWord>小班化教学</modifiedWord>
      <trackRevisions>false</trackRevisions>
    </reviewItem>
    <reviewItem>
      <errorID>67494cce-abe5-4ac4-baab-106c3724b2ee</errorID>
      <errorWord>-</errorWord>
      <group>L1_Format</group>
      <groupName>格式问题</groupName>
      <ability>L2_HalfPunc</ability>
      <abilityName>全半角检查</abilityName>
      <candidateList>
        <item>－</item>
      </candidateList>
      <explain>文本全半角错误。</explain>
      <paraID>16A2F2C8</paraID>
      <start>47</start>
      <end>48</end>
      <status>modified</status>
      <modifiedWord>－</modifiedWord>
      <trackRevisions>false</trackRevisions>
    </reviewItem>
    <reviewItem>
      <errorID>c23eb5cd-9d58-43dc-92e8-a5063e4ea291</errorID>
      <errorWord>病例</errorWord>
      <group>L1_Word</group>
      <groupName>字词问题</groupName>
      <ability>L2_Typo</ability>
      <abilityName>字词错误</abilityName>
      <candidateList>
        <item>病历</item>
      </candidateList>
      <explain>存在发音相同字词的误用。</explain>
      <paraID>2A04A83D</paraID>
      <start>5</start>
      <end>7</end>
      <status>modified</status>
      <modifiedWord>病历</modifiedWord>
      <trackRevisions>false</trackRevisions>
    </reviewItem>
    <reviewItem>
      <errorID>c5cffe35-cf5a-402d-868e-01162b9f127b</errorID>
      <errorWord>震荡</errorWord>
      <group>L1_Word</group>
      <groupName>字词问题</groupName>
      <ability>L2_Typo</ability>
      <abilityName>字词错误</abilityName>
      <candidateList>
        <item>振荡</item>
      </candidateList>
      <explain>存在发音相同字词的误用。</explain>
      <paraID>65CDCD47</paraID>
      <start>7</start>
      <end>9</end>
      <status>modified</status>
      <modifiedWord>振荡</modifiedWord>
      <trackRevisions>false</trackRevisions>
    </reviewItem>
    <reviewItem>
      <errorID>ce36ba00-a9cf-43fb-9753-02729f8329fa</errorID>
      <errorWord>加工产</errorWord>
      <group>L1_Word</group>
      <groupName>字词问题</groupName>
      <ability>L2_Typo</ability>
      <abilityName>字词错误</abilityName>
      <candidateList>
        <item>加工</item>
      </candidateList>
      <explain/>
      <paraID>3170EFB8</paraID>
      <start>124</start>
      <end>126</end>
      <status>modified</status>
      <modifiedWord>加工</modifiedWord>
      <trackRevisions>false</trackRevisions>
    </reviewItem>
    <reviewItem>
      <errorID>69c3cab3-8de2-45a0-8beb-4212cf21a687</errorID>
      <errorWord>-</errorWord>
      <group>L1_Format</group>
      <groupName>格式问题</groupName>
      <ability>L2_HalfPunc</ability>
      <abilityName>全半角检查</abilityName>
      <candidateList>
        <item>－</item>
      </candidateList>
      <explain>文本全半角错误。</explain>
      <paraID>3170EFB8</paraID>
      <start>184</start>
      <end>185</end>
      <status>modified</status>
      <modifiedWord>－</modifiedWord>
      <trackRevisions>false</trackRevisions>
    </reviewItem>
    <reviewItem>
      <errorID>ddd68bf0-b50e-4066-a2db-ba7c5f12d5f8</errorID>
      <errorWord>-</errorWord>
      <group>L1_Format</group>
      <groupName>格式问题</groupName>
      <ability>L2_HalfPunc</ability>
      <abilityName>全半角检查</abilityName>
      <candidateList>
        <item>－</item>
      </candidateList>
      <explain>文本全半角错误。</explain>
      <paraID>3170EFB8</paraID>
      <start>187</start>
      <end>188</end>
      <status>modified</status>
      <modifiedWord>－</modifiedWord>
      <trackRevisions>false</trackRevisions>
    </reviewItem>
    <reviewItem>
      <errorID>3be8e94c-2d82-448b-ac45-350d6fafecc1</errorID>
      <errorWord>课目</errorWord>
      <group>L1_Word</group>
      <groupName>字词问题</groupName>
      <ability>L2_Typo</ability>
      <abilityName>字词错误</abilityName>
      <candidateList>
        <item>科目</item>
      </candidateList>
      <explain>〈名〉❶按事物的性质划分的类别（多指关于学术或账目的）。❷科举考试分科取士的名目。</explain>
      <paraID> DFCF837</paraID>
      <start>6</start>
      <end>8</end>
      <status>modified</status>
      <modifiedWord>科目</modifiedWord>
      <trackRevisions>false</trackRevisions>
    </reviewItem>
    <reviewItem>
      <errorID>c18da0e6-abbd-49c4-b95c-fbdb91a80df3</errorID>
      <errorWord>学院系</errorWord>
      <group>L1_Word</group>
      <groupName>字词问题</groupName>
      <ability>L2_Typo</ability>
      <abilityName>字词错误</abilityName>
      <candidateList>
        <item>学院</item>
      </candidateList>
      <explain/>
      <paraID>15A5A561</paraID>
      <start>7</start>
      <end>9</end>
      <status>modified</status>
      <modifiedWord>学院</modifiedWord>
      <trackRevisions>false</trackRevisions>
    </reviewItem>
    <reviewItem>
      <errorID>91df77ac-101a-4ed3-81a4-08fc7a8f9484</errorID>
      <errorWord>学院系</errorWord>
      <group>L1_Word</group>
      <groupName>字词问题</groupName>
      <ability>L2_Typo</ability>
      <abilityName>字词错误</abilityName>
      <candidateList>
        <item>学院</item>
      </candidateList>
      <explain/>
      <paraID>72E92EE2</paraID>
      <start>7</start>
      <end>9</end>
      <status>modified</status>
      <modifiedWord>学院</modifiedWord>
      <trackRevisions>false</trackRevisions>
    </reviewItem>
    <reviewItem>
      <errorID>3399d2ba-51f2-44ac-8b2f-6a2d6fe8dc12</errorID>
      <errorWord>椅旁</errorWord>
      <group>L1_Word</group>
      <groupName>字词问题</groupName>
      <ability>L2_Typo</ability>
      <abilityName>字词错误</abilityName>
      <candidateList>
        <item>医疗</item>
      </candidateList>
      <explain/>
      <paraID>7D9F8E50</paraID>
      <start>152</start>
      <end>154</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ecb47a-a974-4b9b-806a-5b0068e83aaf}">
  <ds:schemaRefs/>
</ds:datastoreItem>
</file>

<file path=docProps/app.xml><?xml version="1.0" encoding="utf-8"?>
<Properties xmlns="http://schemas.openxmlformats.org/officeDocument/2006/extended-properties" xmlns:vt="http://schemas.openxmlformats.org/officeDocument/2006/docPropsVTypes">
  <Pages>54</Pages>
  <Words>39241</Words>
  <Characters>40304</Characters>
  <TotalTime>20</TotalTime>
  <ScaleCrop>false</ScaleCrop>
  <LinksUpToDate>false</LinksUpToDate>
  <CharactersWithSpaces>40582</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2024-04-07T14:36:00Z</dcterms:created>
  <dc:creator>超级管理员</dc:creator>
  <cp:lastModifiedBy>佳佳</cp:lastModifiedBy>
  <cp:lastPrinted>2025-05-27T06:35:00Z</cp:lastPrinted>
  <dcterms:modified xsi:type="dcterms:W3CDTF">2026-06-24T01:03:39Z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2024-06-08T19:19:09Z</vt:filetime>
  </property>
  <property fmtid="{D5CDD505-2E9C-101B-9397-08002B2CF9AE}" pid="4" name="KSOTemplateDocerSaveRecord">
    <vt:lpwstr>eyJoZGlkIjoiYTg1MjFlMWJjOGQxNmJkNzE5ZDI3YTE0MDE0Njk5YTkiLCJ1c2VySWQiOiI0MzE5MzI2NDQifQ==</vt:lpwstr>
  </property>
  <property fmtid="{D5CDD505-2E9C-101B-9397-08002B2CF9AE}" pid="5" name="KSOProductBuildVer">
    <vt:lpwstr>2052-12.1.0.26375</vt:lpwstr>
  </property>
  <property fmtid="{D5CDD505-2E9C-101B-9397-08002B2CF9AE}" pid="6" name="ICV">
    <vt:lpwstr>251BC13DE8874DCC94BD4BC068467E52_13</vt:lpwstr>
  </property>
</Properties>
</file>