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76E76">
      <w:pPr>
        <w:spacing w:line="277" w:lineRule="auto"/>
        <w:rPr>
          <w:rFonts w:ascii="Arial"/>
          <w:sz w:val="21"/>
        </w:rPr>
      </w:pPr>
    </w:p>
    <w:p w14:paraId="5A237520">
      <w:pPr>
        <w:spacing w:line="277" w:lineRule="auto"/>
        <w:rPr>
          <w:rFonts w:ascii="Arial"/>
          <w:sz w:val="21"/>
        </w:rPr>
      </w:pPr>
    </w:p>
    <w:p w14:paraId="048D2CF4">
      <w:pPr>
        <w:spacing w:before="101" w:line="228" w:lineRule="auto"/>
        <w:ind w:left="44"/>
        <w:rPr>
          <w:rFonts w:hint="eastAsia" w:ascii="黑体" w:hAnsi="黑体" w:eastAsia="黑体" w:cs="黑体"/>
          <w:sz w:val="31"/>
          <w:szCs w:val="31"/>
          <w:lang w:eastAsia="zh-CN"/>
        </w:rPr>
      </w:pPr>
      <w:r>
        <w:rPr>
          <w:rFonts w:ascii="黑体" w:hAnsi="黑体" w:eastAsia="黑体" w:cs="黑体"/>
          <w:spacing w:val="-4"/>
          <w:sz w:val="31"/>
          <w:szCs w:val="31"/>
        </w:rPr>
        <w:t>附件</w:t>
      </w:r>
      <w:r>
        <w:rPr>
          <w:rFonts w:ascii="黑体" w:hAnsi="黑体" w:eastAsia="黑体" w:cs="黑体"/>
          <w:spacing w:val="-45"/>
          <w:sz w:val="31"/>
          <w:szCs w:val="31"/>
        </w:rPr>
        <w:t xml:space="preserve"> </w:t>
      </w:r>
      <w:r>
        <w:rPr>
          <w:rFonts w:hint="eastAsia" w:ascii="黑体" w:hAnsi="黑体" w:cs="黑体"/>
          <w:spacing w:val="-4"/>
          <w:sz w:val="31"/>
          <w:szCs w:val="31"/>
          <w:lang w:val="en-US" w:eastAsia="zh-CN"/>
        </w:rPr>
        <w:t>1</w:t>
      </w:r>
    </w:p>
    <w:p w14:paraId="2EB7095F">
      <w:pPr>
        <w:spacing w:line="1437" w:lineRule="exact"/>
        <w:ind w:firstLine="14"/>
      </w:pPr>
      <w:r>
        <w:rPr>
          <w:position w:val="-28"/>
        </w:rPr>
        <w:drawing>
          <wp:inline distT="0" distB="0" distL="0" distR="0">
            <wp:extent cx="2834640" cy="91249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834640" cy="912876"/>
                    </a:xfrm>
                    <a:prstGeom prst="rect">
                      <a:avLst/>
                    </a:prstGeom>
                  </pic:spPr>
                </pic:pic>
              </a:graphicData>
            </a:graphic>
          </wp:inline>
        </w:drawing>
      </w:r>
    </w:p>
    <w:p w14:paraId="56802DAF">
      <w:pPr>
        <w:spacing w:line="245" w:lineRule="auto"/>
        <w:rPr>
          <w:rFonts w:ascii="Arial"/>
          <w:sz w:val="21"/>
        </w:rPr>
      </w:pPr>
    </w:p>
    <w:p w14:paraId="3A613A55">
      <w:pPr>
        <w:spacing w:line="246" w:lineRule="auto"/>
        <w:rPr>
          <w:rFonts w:ascii="Arial"/>
          <w:sz w:val="21"/>
        </w:rPr>
      </w:pPr>
    </w:p>
    <w:p w14:paraId="7DC88D50">
      <w:pPr>
        <w:spacing w:line="246" w:lineRule="auto"/>
        <w:rPr>
          <w:rFonts w:ascii="Arial"/>
          <w:sz w:val="21"/>
        </w:rPr>
      </w:pPr>
    </w:p>
    <w:p w14:paraId="4B2A481F">
      <w:pPr>
        <w:spacing w:line="246" w:lineRule="auto"/>
        <w:rPr>
          <w:rFonts w:ascii="Arial"/>
          <w:sz w:val="21"/>
        </w:rPr>
      </w:pPr>
    </w:p>
    <w:p w14:paraId="51DD49FC">
      <w:pPr>
        <w:spacing w:line="246" w:lineRule="auto"/>
        <w:rPr>
          <w:rFonts w:ascii="Arial"/>
          <w:sz w:val="21"/>
        </w:rPr>
      </w:pPr>
    </w:p>
    <w:p w14:paraId="1CDAEDA2">
      <w:pPr>
        <w:spacing w:line="246" w:lineRule="auto"/>
        <w:rPr>
          <w:rFonts w:ascii="Arial"/>
          <w:sz w:val="21"/>
        </w:rPr>
      </w:pPr>
    </w:p>
    <w:p w14:paraId="3A201E1F">
      <w:pPr>
        <w:spacing w:line="246" w:lineRule="auto"/>
        <w:rPr>
          <w:rFonts w:ascii="Arial"/>
          <w:sz w:val="21"/>
        </w:rPr>
      </w:pPr>
    </w:p>
    <w:p w14:paraId="5EC701D0">
      <w:pPr>
        <w:spacing w:line="246" w:lineRule="auto"/>
        <w:rPr>
          <w:rFonts w:ascii="Arial"/>
          <w:sz w:val="21"/>
        </w:rPr>
      </w:pPr>
    </w:p>
    <w:p w14:paraId="6E8B6932">
      <w:pPr>
        <w:spacing w:line="246" w:lineRule="auto"/>
        <w:rPr>
          <w:rFonts w:ascii="Arial"/>
          <w:sz w:val="21"/>
        </w:rPr>
      </w:pPr>
    </w:p>
    <w:p w14:paraId="2CB92570">
      <w:pPr>
        <w:spacing w:before="152" w:line="225" w:lineRule="auto"/>
        <w:ind w:left="1944"/>
        <w:rPr>
          <w:rFonts w:ascii="黑体" w:hAnsi="黑体" w:eastAsia="黑体" w:cs="黑体"/>
          <w:sz w:val="47"/>
          <w:szCs w:val="47"/>
        </w:rPr>
      </w:pPr>
      <w:r>
        <w:rPr>
          <w:rFonts w:hint="eastAsia" w:ascii="黑体" w:hAnsi="黑体" w:eastAsia="黑体" w:cs="黑体"/>
          <w:b/>
          <w:bCs/>
          <w:spacing w:val="2"/>
          <w:sz w:val="47"/>
          <w:szCs w:val="47"/>
          <w:lang w:val="en-US" w:eastAsia="zh-CN"/>
        </w:rPr>
        <w:t>临床医学</w:t>
      </w:r>
      <w:r>
        <w:rPr>
          <w:rFonts w:ascii="黑体" w:hAnsi="黑体" w:eastAsia="黑体" w:cs="黑体"/>
          <w:b/>
          <w:bCs/>
          <w:spacing w:val="2"/>
          <w:sz w:val="47"/>
          <w:szCs w:val="47"/>
        </w:rPr>
        <w:t>专业人才培养方案</w:t>
      </w:r>
    </w:p>
    <w:p w14:paraId="23BE080B">
      <w:pPr>
        <w:spacing w:line="283" w:lineRule="auto"/>
        <w:rPr>
          <w:rFonts w:ascii="Arial"/>
          <w:sz w:val="21"/>
        </w:rPr>
      </w:pPr>
    </w:p>
    <w:p w14:paraId="29735C4E">
      <w:pPr>
        <w:spacing w:line="283" w:lineRule="auto"/>
        <w:rPr>
          <w:rFonts w:ascii="Arial"/>
          <w:sz w:val="21"/>
        </w:rPr>
      </w:pPr>
    </w:p>
    <w:p w14:paraId="51FFCA33">
      <w:pPr>
        <w:spacing w:line="284" w:lineRule="auto"/>
        <w:rPr>
          <w:rFonts w:ascii="Arial"/>
          <w:sz w:val="21"/>
        </w:rPr>
      </w:pPr>
    </w:p>
    <w:p w14:paraId="73B81BC5">
      <w:pPr>
        <w:spacing w:line="284" w:lineRule="auto"/>
        <w:rPr>
          <w:rFonts w:ascii="Arial"/>
          <w:sz w:val="21"/>
        </w:rPr>
      </w:pPr>
    </w:p>
    <w:p w14:paraId="5117AE45">
      <w:pPr>
        <w:spacing w:before="153" w:line="225" w:lineRule="auto"/>
        <w:ind w:left="2954"/>
        <w:rPr>
          <w:rFonts w:ascii="黑体" w:hAnsi="黑体" w:eastAsia="黑体" w:cs="黑体"/>
          <w:sz w:val="47"/>
          <w:szCs w:val="47"/>
        </w:rPr>
      </w:pPr>
      <w:r>
        <w:rPr>
          <w:rFonts w:ascii="黑体" w:hAnsi="黑体" w:eastAsia="黑体" w:cs="黑体"/>
          <w:b/>
          <w:bCs/>
          <w:spacing w:val="-10"/>
          <w:sz w:val="47"/>
          <w:szCs w:val="47"/>
        </w:rPr>
        <w:t>（202</w:t>
      </w:r>
      <w:r>
        <w:rPr>
          <w:rFonts w:hint="eastAsia" w:ascii="黑体" w:hAnsi="黑体" w:eastAsia="黑体" w:cs="黑体"/>
          <w:b/>
          <w:bCs/>
          <w:spacing w:val="-10"/>
          <w:sz w:val="47"/>
          <w:szCs w:val="47"/>
          <w:lang w:val="en-US" w:eastAsia="zh-CN"/>
        </w:rPr>
        <w:t>6</w:t>
      </w:r>
      <w:r>
        <w:rPr>
          <w:rFonts w:ascii="黑体" w:hAnsi="黑体" w:eastAsia="黑体" w:cs="黑体"/>
          <w:b/>
          <w:bCs/>
          <w:spacing w:val="-10"/>
          <w:sz w:val="47"/>
          <w:szCs w:val="47"/>
        </w:rPr>
        <w:t>级）</w:t>
      </w:r>
    </w:p>
    <w:p w14:paraId="00FFDE0A">
      <w:pPr>
        <w:spacing w:line="244" w:lineRule="auto"/>
        <w:rPr>
          <w:rFonts w:ascii="Arial"/>
          <w:sz w:val="21"/>
        </w:rPr>
      </w:pPr>
    </w:p>
    <w:p w14:paraId="14201E0B">
      <w:pPr>
        <w:spacing w:line="244" w:lineRule="auto"/>
        <w:rPr>
          <w:rFonts w:ascii="Arial"/>
          <w:sz w:val="21"/>
        </w:rPr>
      </w:pPr>
    </w:p>
    <w:p w14:paraId="7D4CC6D2">
      <w:pPr>
        <w:spacing w:line="244" w:lineRule="auto"/>
        <w:rPr>
          <w:rFonts w:ascii="Arial"/>
          <w:sz w:val="21"/>
        </w:rPr>
      </w:pPr>
    </w:p>
    <w:p w14:paraId="522DDA55">
      <w:pPr>
        <w:spacing w:line="244" w:lineRule="auto"/>
        <w:rPr>
          <w:rFonts w:ascii="Arial"/>
          <w:sz w:val="21"/>
        </w:rPr>
      </w:pPr>
    </w:p>
    <w:p w14:paraId="7F4E9B36">
      <w:pPr>
        <w:spacing w:line="244" w:lineRule="auto"/>
        <w:rPr>
          <w:rFonts w:ascii="Arial"/>
          <w:sz w:val="21"/>
        </w:rPr>
      </w:pPr>
    </w:p>
    <w:p w14:paraId="7F672C10">
      <w:pPr>
        <w:spacing w:line="244" w:lineRule="auto"/>
        <w:rPr>
          <w:rFonts w:ascii="Arial"/>
          <w:sz w:val="21"/>
        </w:rPr>
      </w:pPr>
    </w:p>
    <w:p w14:paraId="37C9F959">
      <w:pPr>
        <w:spacing w:line="245" w:lineRule="auto"/>
        <w:rPr>
          <w:rFonts w:ascii="Arial"/>
          <w:sz w:val="21"/>
        </w:rPr>
      </w:pPr>
    </w:p>
    <w:p w14:paraId="01B3F5FD">
      <w:pPr>
        <w:spacing w:line="245" w:lineRule="auto"/>
        <w:rPr>
          <w:rFonts w:ascii="Arial"/>
          <w:sz w:val="21"/>
        </w:rPr>
      </w:pPr>
    </w:p>
    <w:p w14:paraId="10C8AFE3">
      <w:pPr>
        <w:spacing w:line="245" w:lineRule="auto"/>
        <w:rPr>
          <w:rFonts w:ascii="Arial"/>
          <w:sz w:val="21"/>
        </w:rPr>
      </w:pPr>
    </w:p>
    <w:p w14:paraId="52E67786">
      <w:pPr>
        <w:spacing w:line="245" w:lineRule="auto"/>
        <w:rPr>
          <w:rFonts w:ascii="Arial"/>
          <w:sz w:val="21"/>
        </w:rPr>
      </w:pPr>
    </w:p>
    <w:p w14:paraId="5E660743">
      <w:pPr>
        <w:spacing w:line="245" w:lineRule="auto"/>
        <w:rPr>
          <w:rFonts w:ascii="Arial"/>
          <w:sz w:val="21"/>
        </w:rPr>
      </w:pPr>
    </w:p>
    <w:p w14:paraId="14BD022A">
      <w:pPr>
        <w:spacing w:line="245" w:lineRule="auto"/>
        <w:rPr>
          <w:rFonts w:ascii="Arial"/>
          <w:sz w:val="21"/>
        </w:rPr>
      </w:pPr>
    </w:p>
    <w:p w14:paraId="2B36202E">
      <w:pPr>
        <w:spacing w:line="245" w:lineRule="auto"/>
        <w:rPr>
          <w:rFonts w:ascii="Arial"/>
          <w:sz w:val="21"/>
        </w:rPr>
      </w:pPr>
    </w:p>
    <w:p w14:paraId="4326D2FF">
      <w:pPr>
        <w:spacing w:line="245" w:lineRule="auto"/>
        <w:rPr>
          <w:rFonts w:ascii="Arial"/>
          <w:sz w:val="21"/>
        </w:rPr>
      </w:pPr>
    </w:p>
    <w:p w14:paraId="5060CD14">
      <w:pPr>
        <w:spacing w:line="245" w:lineRule="auto"/>
        <w:rPr>
          <w:rFonts w:ascii="Arial"/>
          <w:sz w:val="21"/>
        </w:rPr>
      </w:pPr>
    </w:p>
    <w:p w14:paraId="2535BDAA">
      <w:pPr>
        <w:spacing w:line="245" w:lineRule="auto"/>
        <w:rPr>
          <w:rFonts w:ascii="Arial"/>
          <w:sz w:val="21"/>
        </w:rPr>
      </w:pPr>
    </w:p>
    <w:p w14:paraId="126ABBCF">
      <w:pPr>
        <w:spacing w:line="245" w:lineRule="auto"/>
        <w:rPr>
          <w:rFonts w:ascii="Arial"/>
          <w:sz w:val="21"/>
        </w:rPr>
      </w:pPr>
    </w:p>
    <w:p w14:paraId="7A60DBDF">
      <w:pPr>
        <w:spacing w:line="245" w:lineRule="auto"/>
        <w:rPr>
          <w:rFonts w:ascii="Arial"/>
          <w:sz w:val="21"/>
        </w:rPr>
      </w:pPr>
    </w:p>
    <w:p w14:paraId="3355D41E">
      <w:pPr>
        <w:spacing w:before="114" w:line="228" w:lineRule="auto"/>
        <w:ind w:left="3235"/>
        <w:rPr>
          <w:rFonts w:hint="eastAsia" w:ascii="黑体" w:hAnsi="黑体" w:eastAsia="黑体" w:cs="黑体"/>
          <w:sz w:val="35"/>
          <w:szCs w:val="35"/>
          <w:lang w:val="en-US" w:eastAsia="zh-CN"/>
        </w:rPr>
        <w:sectPr>
          <w:headerReference r:id="rId5" w:type="default"/>
          <w:footerReference r:id="rId6" w:type="default"/>
          <w:pgSz w:w="11906" w:h="16839"/>
          <w:pgMar w:top="400" w:right="1785" w:bottom="1127" w:left="1785" w:header="0" w:footer="848" w:gutter="0"/>
          <w:pgBorders>
            <w:top w:val="none" w:sz="0" w:space="0"/>
            <w:left w:val="none" w:sz="0" w:space="0"/>
            <w:bottom w:val="none" w:sz="0" w:space="0"/>
            <w:right w:val="none" w:sz="0" w:space="0"/>
          </w:pgBorders>
          <w:cols w:space="720" w:num="1"/>
        </w:sectPr>
      </w:pPr>
      <w:r>
        <w:rPr>
          <w:rFonts w:hint="eastAsia" w:ascii="黑体" w:hAnsi="黑体" w:cs="黑体"/>
          <w:spacing w:val="-71"/>
          <w:sz w:val="35"/>
          <w:szCs w:val="35"/>
          <w:lang w:val="en-US" w:eastAsia="zh-CN"/>
        </w:rPr>
        <w:t>2 0 2 6</w:t>
      </w:r>
      <w:r>
        <w:rPr>
          <w:rFonts w:ascii="黑体" w:hAnsi="黑体" w:eastAsia="黑体" w:cs="黑体"/>
          <w:spacing w:val="-71"/>
          <w:sz w:val="35"/>
          <w:szCs w:val="35"/>
        </w:rPr>
        <w:t xml:space="preserve"> </w:t>
      </w:r>
      <w:r>
        <w:rPr>
          <w:rFonts w:ascii="黑体" w:hAnsi="黑体" w:eastAsia="黑体" w:cs="黑体"/>
          <w:spacing w:val="-1"/>
          <w:sz w:val="35"/>
          <w:szCs w:val="35"/>
        </w:rPr>
        <w:t>年</w:t>
      </w:r>
      <w:r>
        <w:rPr>
          <w:rFonts w:ascii="黑体" w:hAnsi="黑体" w:eastAsia="黑体" w:cs="黑体"/>
          <w:spacing w:val="-71"/>
          <w:sz w:val="35"/>
          <w:szCs w:val="35"/>
        </w:rPr>
        <w:t xml:space="preserve"> </w:t>
      </w:r>
      <w:r>
        <w:rPr>
          <w:rFonts w:hint="eastAsia" w:ascii="黑体" w:hAnsi="黑体" w:cs="黑体"/>
          <w:spacing w:val="-71"/>
          <w:sz w:val="35"/>
          <w:szCs w:val="35"/>
          <w:lang w:val="en-US" w:eastAsia="zh-CN"/>
        </w:rPr>
        <w:t>6</w:t>
      </w:r>
      <w:r>
        <w:rPr>
          <w:rFonts w:ascii="黑体" w:hAnsi="黑体" w:eastAsia="黑体" w:cs="黑体"/>
          <w:spacing w:val="-64"/>
          <w:sz w:val="35"/>
          <w:szCs w:val="35"/>
        </w:rPr>
        <w:t xml:space="preserve"> </w:t>
      </w:r>
      <w:r>
        <w:rPr>
          <w:rFonts w:ascii="黑体" w:hAnsi="黑体" w:eastAsia="黑体" w:cs="黑体"/>
          <w:spacing w:val="-1"/>
          <w:sz w:val="35"/>
          <w:szCs w:val="35"/>
        </w:rPr>
        <w:t>月</w:t>
      </w:r>
    </w:p>
    <w:sdt>
      <w:sdtPr>
        <w:rPr>
          <w:rFonts w:ascii="宋体" w:hAnsi="宋体" w:eastAsia="宋体" w:cs="Arial"/>
          <w:b/>
          <w:snapToGrid w:val="0"/>
          <w:color w:val="000000"/>
          <w:kern w:val="0"/>
          <w:sz w:val="21"/>
          <w:szCs w:val="21"/>
          <w:lang w:val="en-US" w:eastAsia="en-US" w:bidi="ar-SA"/>
        </w:rPr>
        <w:id w:val="147458248"/>
        <w15:color w:val="DBDBDB"/>
        <w:docPartObj>
          <w:docPartGallery w:val="Table of Contents"/>
          <w:docPartUnique/>
        </w:docPartObj>
      </w:sdtPr>
      <w:sdtEndPr>
        <w:rPr>
          <w:rFonts w:hint="eastAsia" w:ascii="黑体" w:hAnsi="黑体" w:eastAsia="黑体" w:cs="黑体"/>
          <w:b/>
          <w:snapToGrid w:val="0"/>
          <w:color w:val="000000"/>
          <w:kern w:val="0"/>
          <w:sz w:val="28"/>
          <w:szCs w:val="35"/>
          <w:lang w:val="en-US" w:eastAsia="zh-CN" w:bidi="ar-SA"/>
        </w:rPr>
      </w:sdtEndPr>
      <w:sdtContent>
        <w:p w14:paraId="7212BD59">
          <w:pPr>
            <w:spacing w:before="0" w:beforeLines="0" w:after="0" w:afterLines="0" w:line="240" w:lineRule="auto"/>
            <w:ind w:left="0" w:leftChars="0" w:right="0" w:rightChars="0" w:firstLine="0" w:firstLineChars="0"/>
            <w:jc w:val="center"/>
            <w:rPr>
              <w:rFonts w:ascii="宋体" w:hAnsi="宋体" w:eastAsia="宋体" w:cs="Arial"/>
              <w:b/>
              <w:snapToGrid w:val="0"/>
              <w:color w:val="000000"/>
              <w:kern w:val="0"/>
              <w:sz w:val="21"/>
              <w:szCs w:val="21"/>
              <w:lang w:val="en-US" w:eastAsia="en-US" w:bidi="ar-SA"/>
            </w:rPr>
          </w:pPr>
        </w:p>
        <w:p w14:paraId="25C1C659">
          <w:pPr>
            <w:spacing w:before="0" w:beforeLines="0" w:after="0" w:afterLines="0" w:line="240" w:lineRule="auto"/>
            <w:ind w:left="0" w:leftChars="0" w:right="0" w:rightChars="0" w:firstLine="0" w:firstLineChars="0"/>
            <w:jc w:val="center"/>
            <w:rPr>
              <w:rFonts w:hint="eastAsia" w:ascii="黑体" w:hAnsi="黑体" w:eastAsia="黑体" w:cs="黑体"/>
              <w:sz w:val="32"/>
              <w:szCs w:val="32"/>
            </w:rPr>
          </w:pPr>
          <w:r>
            <w:rPr>
              <w:rFonts w:hint="eastAsia" w:ascii="黑体" w:hAnsi="黑体" w:eastAsia="黑体" w:cs="黑体"/>
              <w:sz w:val="32"/>
              <w:szCs w:val="32"/>
            </w:rPr>
            <w:t>目录</w:t>
          </w:r>
        </w:p>
        <w:p w14:paraId="5E0388EA">
          <w:pPr>
            <w:pStyle w:val="7"/>
            <w:tabs>
              <w:tab w:val="right" w:leader="dot" w:pos="8336"/>
              <w:tab w:val="clear" w:pos="9016"/>
            </w:tabs>
          </w:pPr>
          <w:r>
            <w:rPr>
              <w:rFonts w:hint="eastAsia" w:ascii="黑体" w:hAnsi="黑体" w:eastAsia="黑体" w:cs="黑体"/>
              <w:sz w:val="35"/>
              <w:szCs w:val="35"/>
              <w:lang w:val="en-US" w:eastAsia="zh-CN"/>
            </w:rPr>
            <w:fldChar w:fldCharType="begin"/>
          </w:r>
          <w:r>
            <w:rPr>
              <w:rFonts w:hint="eastAsia" w:ascii="黑体" w:hAnsi="黑体" w:eastAsia="黑体" w:cs="黑体"/>
              <w:sz w:val="35"/>
              <w:szCs w:val="35"/>
              <w:lang w:val="en-US" w:eastAsia="zh-CN"/>
            </w:rPr>
            <w:instrText xml:space="preserve">TOC \o "1-2" \h \u </w:instrText>
          </w:r>
          <w:r>
            <w:rPr>
              <w:rFonts w:hint="eastAsia" w:ascii="黑体" w:hAnsi="黑体" w:eastAsia="黑体" w:cs="黑体"/>
              <w:sz w:val="35"/>
              <w:szCs w:val="35"/>
              <w:lang w:val="en-US" w:eastAsia="zh-CN"/>
            </w:rPr>
            <w:fldChar w:fldCharType="separate"/>
          </w: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_Toc6833 </w:instrText>
          </w:r>
          <w:r>
            <w:rPr>
              <w:rFonts w:hint="eastAsia" w:ascii="黑体" w:hAnsi="黑体" w:eastAsia="黑体" w:cs="黑体"/>
              <w:szCs w:val="35"/>
              <w:lang w:val="en-US" w:eastAsia="zh-CN"/>
            </w:rPr>
            <w:fldChar w:fldCharType="separate"/>
          </w:r>
          <w:r>
            <w:t>一、专业名称及代码</w:t>
          </w:r>
          <w:r>
            <w:tab/>
          </w:r>
          <w:r>
            <w:fldChar w:fldCharType="begin"/>
          </w:r>
          <w:r>
            <w:instrText xml:space="preserve"> PAGEREF _Toc6833 \h </w:instrText>
          </w:r>
          <w:r>
            <w:fldChar w:fldCharType="separate"/>
          </w:r>
          <w:r>
            <w:t>1</w:t>
          </w:r>
          <w:r>
            <w:fldChar w:fldCharType="end"/>
          </w:r>
          <w:r>
            <w:rPr>
              <w:rFonts w:hint="eastAsia" w:ascii="黑体" w:hAnsi="黑体" w:eastAsia="黑体" w:cs="黑体"/>
              <w:szCs w:val="35"/>
              <w:lang w:val="en-US" w:eastAsia="zh-CN"/>
            </w:rPr>
            <w:fldChar w:fldCharType="end"/>
          </w:r>
        </w:p>
        <w:p w14:paraId="320E9E31">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_Toc17581 </w:instrText>
          </w:r>
          <w:r>
            <w:rPr>
              <w:rFonts w:hint="eastAsia" w:ascii="黑体" w:hAnsi="黑体" w:eastAsia="黑体" w:cs="黑体"/>
              <w:szCs w:val="35"/>
              <w:lang w:val="en-US" w:eastAsia="zh-CN"/>
            </w:rPr>
            <w:fldChar w:fldCharType="separate"/>
          </w:r>
          <w:r>
            <w:t>二、入学要求</w:t>
          </w:r>
          <w:r>
            <w:tab/>
          </w:r>
          <w:r>
            <w:fldChar w:fldCharType="begin"/>
          </w:r>
          <w:r>
            <w:instrText xml:space="preserve"> PAGEREF _Toc17581 \h </w:instrText>
          </w:r>
          <w:r>
            <w:fldChar w:fldCharType="separate"/>
          </w:r>
          <w:r>
            <w:t>1</w:t>
          </w:r>
          <w:r>
            <w:fldChar w:fldCharType="end"/>
          </w:r>
          <w:r>
            <w:rPr>
              <w:rFonts w:hint="eastAsia" w:ascii="黑体" w:hAnsi="黑体" w:eastAsia="黑体" w:cs="黑体"/>
              <w:szCs w:val="35"/>
              <w:lang w:val="en-US" w:eastAsia="zh-CN"/>
            </w:rPr>
            <w:fldChar w:fldCharType="end"/>
          </w:r>
        </w:p>
        <w:p w14:paraId="334B9EE9">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_Toc18092 </w:instrText>
          </w:r>
          <w:r>
            <w:rPr>
              <w:rFonts w:hint="eastAsia" w:ascii="黑体" w:hAnsi="黑体" w:eastAsia="黑体" w:cs="黑体"/>
              <w:szCs w:val="35"/>
              <w:lang w:val="en-US" w:eastAsia="zh-CN"/>
            </w:rPr>
            <w:fldChar w:fldCharType="separate"/>
          </w:r>
          <w:r>
            <w:t>三、修业年限</w:t>
          </w:r>
          <w:r>
            <w:tab/>
          </w:r>
          <w:r>
            <w:fldChar w:fldCharType="begin"/>
          </w:r>
          <w:r>
            <w:instrText xml:space="preserve"> PAGEREF _Toc18092 \h </w:instrText>
          </w:r>
          <w:r>
            <w:fldChar w:fldCharType="separate"/>
          </w:r>
          <w:r>
            <w:t>1</w:t>
          </w:r>
          <w:r>
            <w:fldChar w:fldCharType="end"/>
          </w:r>
          <w:r>
            <w:rPr>
              <w:rFonts w:hint="eastAsia" w:ascii="黑体" w:hAnsi="黑体" w:eastAsia="黑体" w:cs="黑体"/>
              <w:szCs w:val="35"/>
              <w:lang w:val="en-US" w:eastAsia="zh-CN"/>
            </w:rPr>
            <w:fldChar w:fldCharType="end"/>
          </w:r>
        </w:p>
        <w:p w14:paraId="0A6566B5">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_Toc6980 </w:instrText>
          </w:r>
          <w:r>
            <w:rPr>
              <w:rFonts w:hint="eastAsia" w:ascii="黑体" w:hAnsi="黑体" w:eastAsia="黑体" w:cs="黑体"/>
              <w:szCs w:val="35"/>
              <w:lang w:val="en-US" w:eastAsia="zh-CN"/>
            </w:rPr>
            <w:fldChar w:fldCharType="separate"/>
          </w:r>
          <w:r>
            <w:rPr>
              <w:rFonts w:hint="eastAsia"/>
            </w:rPr>
            <w:t>四、</w:t>
          </w:r>
          <w:r>
            <w:t>职业面向</w:t>
          </w:r>
          <w:r>
            <w:tab/>
          </w:r>
          <w:r>
            <w:fldChar w:fldCharType="begin"/>
          </w:r>
          <w:r>
            <w:instrText xml:space="preserve"> PAGEREF _Toc6980 \h </w:instrText>
          </w:r>
          <w:r>
            <w:fldChar w:fldCharType="separate"/>
          </w:r>
          <w:r>
            <w:t>1</w:t>
          </w:r>
          <w:r>
            <w:fldChar w:fldCharType="end"/>
          </w:r>
          <w:r>
            <w:rPr>
              <w:rFonts w:hint="eastAsia" w:ascii="黑体" w:hAnsi="黑体" w:eastAsia="黑体" w:cs="黑体"/>
              <w:szCs w:val="35"/>
              <w:lang w:val="en-US" w:eastAsia="zh-CN"/>
            </w:rPr>
            <w:fldChar w:fldCharType="end"/>
          </w:r>
        </w:p>
        <w:p w14:paraId="7C2F95CD">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_Toc15984 </w:instrText>
          </w:r>
          <w:r>
            <w:rPr>
              <w:rFonts w:hint="eastAsia" w:ascii="黑体" w:hAnsi="黑体" w:eastAsia="黑体" w:cs="黑体"/>
              <w:szCs w:val="35"/>
              <w:lang w:val="en-US" w:eastAsia="zh-CN"/>
            </w:rPr>
            <w:fldChar w:fldCharType="separate"/>
          </w:r>
          <w:r>
            <w:rPr>
              <w:rFonts w:hint="eastAsia"/>
              <w:lang w:eastAsia="zh-CN"/>
            </w:rPr>
            <w:t>（一）职业领域</w:t>
          </w:r>
          <w:r>
            <w:tab/>
          </w:r>
          <w:r>
            <w:fldChar w:fldCharType="begin"/>
          </w:r>
          <w:r>
            <w:instrText xml:space="preserve"> PAGEREF _Toc15984 \h </w:instrText>
          </w:r>
          <w:r>
            <w:fldChar w:fldCharType="separate"/>
          </w:r>
          <w:r>
            <w:t>1</w:t>
          </w:r>
          <w:r>
            <w:fldChar w:fldCharType="end"/>
          </w:r>
          <w:r>
            <w:rPr>
              <w:rFonts w:hint="eastAsia" w:ascii="黑体" w:hAnsi="黑体" w:eastAsia="黑体" w:cs="黑体"/>
              <w:szCs w:val="35"/>
              <w:lang w:val="en-US" w:eastAsia="zh-CN"/>
            </w:rPr>
            <w:fldChar w:fldCharType="end"/>
          </w:r>
        </w:p>
        <w:p w14:paraId="0920B723">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_Toc8197 </w:instrText>
          </w:r>
          <w:r>
            <w:rPr>
              <w:rFonts w:hint="eastAsia" w:ascii="黑体" w:hAnsi="黑体" w:eastAsia="黑体" w:cs="黑体"/>
              <w:szCs w:val="35"/>
              <w:lang w:val="en-US" w:eastAsia="zh-CN"/>
            </w:rPr>
            <w:fldChar w:fldCharType="separate"/>
          </w:r>
          <w:r>
            <w:rPr>
              <w:rFonts w:hint="eastAsia"/>
              <w:lang w:eastAsia="zh-CN"/>
            </w:rPr>
            <w:t>（</w:t>
          </w:r>
          <w:r>
            <w:rPr>
              <w:rFonts w:hint="eastAsia"/>
              <w:lang w:val="en-US" w:eastAsia="zh-CN"/>
            </w:rPr>
            <w:t>二</w:t>
          </w:r>
          <w:r>
            <w:rPr>
              <w:rFonts w:hint="eastAsia"/>
              <w:lang w:eastAsia="zh-CN"/>
            </w:rPr>
            <w:t>）</w:t>
          </w:r>
          <w:r>
            <w:t>就业岗位及相应职业能力描述</w:t>
          </w:r>
          <w:r>
            <w:tab/>
          </w:r>
          <w:r>
            <w:fldChar w:fldCharType="begin"/>
          </w:r>
          <w:r>
            <w:instrText xml:space="preserve"> PAGEREF _Toc8197 \h </w:instrText>
          </w:r>
          <w:r>
            <w:fldChar w:fldCharType="separate"/>
          </w:r>
          <w:r>
            <w:t>1</w:t>
          </w:r>
          <w:r>
            <w:fldChar w:fldCharType="end"/>
          </w:r>
          <w:r>
            <w:rPr>
              <w:rFonts w:hint="eastAsia" w:ascii="黑体" w:hAnsi="黑体" w:eastAsia="黑体" w:cs="黑体"/>
              <w:szCs w:val="35"/>
              <w:lang w:val="en-US" w:eastAsia="zh-CN"/>
            </w:rPr>
            <w:fldChar w:fldCharType="end"/>
          </w:r>
        </w:p>
        <w:p w14:paraId="38CB443D">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_Toc20525 </w:instrText>
          </w:r>
          <w:r>
            <w:rPr>
              <w:rFonts w:hint="eastAsia" w:ascii="黑体" w:hAnsi="黑体" w:eastAsia="黑体" w:cs="黑体"/>
              <w:szCs w:val="35"/>
              <w:lang w:val="en-US" w:eastAsia="zh-CN"/>
            </w:rPr>
            <w:fldChar w:fldCharType="separate"/>
          </w:r>
          <w:r>
            <w:t>五、培养目标及培养规格</w:t>
          </w:r>
          <w:r>
            <w:tab/>
          </w:r>
          <w:r>
            <w:fldChar w:fldCharType="begin"/>
          </w:r>
          <w:r>
            <w:instrText xml:space="preserve"> PAGEREF _Toc20525 \h </w:instrText>
          </w:r>
          <w:r>
            <w:fldChar w:fldCharType="separate"/>
          </w:r>
          <w:r>
            <w:t>2</w:t>
          </w:r>
          <w:r>
            <w:fldChar w:fldCharType="end"/>
          </w:r>
          <w:r>
            <w:rPr>
              <w:rFonts w:hint="eastAsia" w:ascii="黑体" w:hAnsi="黑体" w:eastAsia="黑体" w:cs="黑体"/>
              <w:szCs w:val="35"/>
              <w:lang w:val="en-US" w:eastAsia="zh-CN"/>
            </w:rPr>
            <w:fldChar w:fldCharType="end"/>
          </w:r>
        </w:p>
        <w:p w14:paraId="0281D02F">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_Toc24171 </w:instrText>
          </w:r>
          <w:r>
            <w:rPr>
              <w:rFonts w:hint="eastAsia" w:ascii="黑体" w:hAnsi="黑体" w:eastAsia="黑体" w:cs="黑体"/>
              <w:szCs w:val="35"/>
              <w:lang w:val="en-US" w:eastAsia="zh-CN"/>
            </w:rPr>
            <w:fldChar w:fldCharType="separate"/>
          </w:r>
          <w:r>
            <w:t>（一）培养目标</w:t>
          </w:r>
          <w:r>
            <w:tab/>
          </w:r>
          <w:r>
            <w:fldChar w:fldCharType="begin"/>
          </w:r>
          <w:r>
            <w:instrText xml:space="preserve"> PAGEREF _Toc24171 \h </w:instrText>
          </w:r>
          <w:r>
            <w:fldChar w:fldCharType="separate"/>
          </w:r>
          <w:r>
            <w:t>2</w:t>
          </w:r>
          <w:r>
            <w:fldChar w:fldCharType="end"/>
          </w:r>
          <w:r>
            <w:rPr>
              <w:rFonts w:hint="eastAsia" w:ascii="黑体" w:hAnsi="黑体" w:eastAsia="黑体" w:cs="黑体"/>
              <w:szCs w:val="35"/>
              <w:lang w:val="en-US" w:eastAsia="zh-CN"/>
            </w:rPr>
            <w:fldChar w:fldCharType="end"/>
          </w:r>
        </w:p>
        <w:p w14:paraId="7D8BE2C8">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_Toc16190 </w:instrText>
          </w:r>
          <w:r>
            <w:rPr>
              <w:rFonts w:hint="eastAsia" w:ascii="黑体" w:hAnsi="黑体" w:eastAsia="黑体" w:cs="黑体"/>
              <w:szCs w:val="35"/>
              <w:lang w:val="en-US" w:eastAsia="zh-CN"/>
            </w:rPr>
            <w:fldChar w:fldCharType="separate"/>
          </w:r>
          <w:r>
            <w:t>（二）培养规格</w:t>
          </w:r>
          <w:r>
            <w:tab/>
          </w:r>
          <w:r>
            <w:fldChar w:fldCharType="begin"/>
          </w:r>
          <w:r>
            <w:instrText xml:space="preserve"> PAGEREF _Toc16190 \h </w:instrText>
          </w:r>
          <w:r>
            <w:fldChar w:fldCharType="separate"/>
          </w:r>
          <w:r>
            <w:t>2</w:t>
          </w:r>
          <w:r>
            <w:fldChar w:fldCharType="end"/>
          </w:r>
          <w:r>
            <w:rPr>
              <w:rFonts w:hint="eastAsia" w:ascii="黑体" w:hAnsi="黑体" w:eastAsia="黑体" w:cs="黑体"/>
              <w:szCs w:val="35"/>
              <w:lang w:val="en-US" w:eastAsia="zh-CN"/>
            </w:rPr>
            <w:fldChar w:fldCharType="end"/>
          </w:r>
        </w:p>
        <w:p w14:paraId="64DD3E2B">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_Toc781 </w:instrText>
          </w:r>
          <w:r>
            <w:rPr>
              <w:rFonts w:hint="eastAsia" w:ascii="黑体" w:hAnsi="黑体" w:eastAsia="黑体" w:cs="黑体"/>
              <w:szCs w:val="35"/>
              <w:lang w:val="en-US" w:eastAsia="zh-CN"/>
            </w:rPr>
            <w:fldChar w:fldCharType="separate"/>
          </w:r>
          <w:r>
            <w:t>六、课程设置及要求</w:t>
          </w:r>
          <w:r>
            <w:tab/>
          </w:r>
          <w:r>
            <w:fldChar w:fldCharType="begin"/>
          </w:r>
          <w:r>
            <w:instrText xml:space="preserve"> PAGEREF _Toc781 \h </w:instrText>
          </w:r>
          <w:r>
            <w:fldChar w:fldCharType="separate"/>
          </w:r>
          <w:r>
            <w:t>4</w:t>
          </w:r>
          <w:r>
            <w:fldChar w:fldCharType="end"/>
          </w:r>
          <w:r>
            <w:rPr>
              <w:rFonts w:hint="eastAsia" w:ascii="黑体" w:hAnsi="黑体" w:eastAsia="黑体" w:cs="黑体"/>
              <w:szCs w:val="35"/>
              <w:lang w:val="en-US" w:eastAsia="zh-CN"/>
            </w:rPr>
            <w:fldChar w:fldCharType="end"/>
          </w:r>
        </w:p>
        <w:p w14:paraId="31045111">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_Toc10746 </w:instrText>
          </w:r>
          <w:r>
            <w:rPr>
              <w:rFonts w:hint="eastAsia" w:ascii="黑体" w:hAnsi="黑体" w:eastAsia="黑体" w:cs="黑体"/>
              <w:szCs w:val="35"/>
              <w:lang w:val="en-US" w:eastAsia="zh-CN"/>
            </w:rPr>
            <w:fldChar w:fldCharType="separate"/>
          </w:r>
          <w:r>
            <w:t>（一）公共基础课程</w:t>
          </w:r>
          <w:r>
            <w:tab/>
          </w:r>
          <w:r>
            <w:fldChar w:fldCharType="begin"/>
          </w:r>
          <w:r>
            <w:instrText xml:space="preserve"> PAGEREF _Toc10746 \h </w:instrText>
          </w:r>
          <w:r>
            <w:fldChar w:fldCharType="separate"/>
          </w:r>
          <w:r>
            <w:t>4</w:t>
          </w:r>
          <w:r>
            <w:fldChar w:fldCharType="end"/>
          </w:r>
          <w:r>
            <w:rPr>
              <w:rFonts w:hint="eastAsia" w:ascii="黑体" w:hAnsi="黑体" w:eastAsia="黑体" w:cs="黑体"/>
              <w:szCs w:val="35"/>
              <w:lang w:val="en-US" w:eastAsia="zh-CN"/>
            </w:rPr>
            <w:fldChar w:fldCharType="end"/>
          </w:r>
        </w:p>
        <w:p w14:paraId="230910E1">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_Toc11926 </w:instrText>
          </w:r>
          <w:r>
            <w:rPr>
              <w:rFonts w:hint="eastAsia" w:ascii="黑体" w:hAnsi="黑体" w:eastAsia="黑体" w:cs="黑体"/>
              <w:szCs w:val="35"/>
              <w:lang w:val="en-US" w:eastAsia="zh-CN"/>
            </w:rPr>
            <w:fldChar w:fldCharType="separate"/>
          </w:r>
          <w:r>
            <w:t>（二）专业课程</w:t>
          </w:r>
          <w:r>
            <w:tab/>
          </w:r>
          <w:r>
            <w:fldChar w:fldCharType="begin"/>
          </w:r>
          <w:r>
            <w:instrText xml:space="preserve"> PAGEREF _Toc11926 \h </w:instrText>
          </w:r>
          <w:r>
            <w:fldChar w:fldCharType="separate"/>
          </w:r>
          <w:r>
            <w:t>4</w:t>
          </w:r>
          <w:r>
            <w:fldChar w:fldCharType="end"/>
          </w:r>
          <w:r>
            <w:rPr>
              <w:rFonts w:hint="eastAsia" w:ascii="黑体" w:hAnsi="黑体" w:eastAsia="黑体" w:cs="黑体"/>
              <w:szCs w:val="35"/>
              <w:lang w:val="en-US" w:eastAsia="zh-CN"/>
            </w:rPr>
            <w:fldChar w:fldCharType="end"/>
          </w:r>
        </w:p>
        <w:p w14:paraId="365A0704">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_Toc838 </w:instrText>
          </w:r>
          <w:r>
            <w:rPr>
              <w:rFonts w:hint="eastAsia" w:ascii="黑体" w:hAnsi="黑体" w:eastAsia="黑体" w:cs="黑体"/>
              <w:szCs w:val="35"/>
              <w:lang w:val="en-US" w:eastAsia="zh-CN"/>
            </w:rPr>
            <w:fldChar w:fldCharType="separate"/>
          </w:r>
          <w:r>
            <w:t>七、教学进程总体安排</w:t>
          </w:r>
          <w:r>
            <w:tab/>
          </w:r>
          <w:r>
            <w:fldChar w:fldCharType="begin"/>
          </w:r>
          <w:r>
            <w:instrText xml:space="preserve"> PAGEREF _Toc838 \h </w:instrText>
          </w:r>
          <w:r>
            <w:fldChar w:fldCharType="separate"/>
          </w:r>
          <w:r>
            <w:t>5</w:t>
          </w:r>
          <w:r>
            <w:fldChar w:fldCharType="end"/>
          </w:r>
          <w:r>
            <w:rPr>
              <w:rFonts w:hint="eastAsia" w:ascii="黑体" w:hAnsi="黑体" w:eastAsia="黑体" w:cs="黑体"/>
              <w:szCs w:val="35"/>
              <w:lang w:val="en-US" w:eastAsia="zh-CN"/>
            </w:rPr>
            <w:fldChar w:fldCharType="end"/>
          </w:r>
        </w:p>
        <w:p w14:paraId="11BC91AC">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_Toc12697 </w:instrText>
          </w:r>
          <w:r>
            <w:rPr>
              <w:rFonts w:hint="eastAsia" w:ascii="黑体" w:hAnsi="黑体" w:eastAsia="黑体" w:cs="黑体"/>
              <w:szCs w:val="35"/>
              <w:lang w:val="en-US" w:eastAsia="zh-CN"/>
            </w:rPr>
            <w:fldChar w:fldCharType="separate"/>
          </w:r>
          <w:r>
            <w:t>（一）教学周数安排表</w:t>
          </w:r>
          <w:r>
            <w:tab/>
          </w:r>
          <w:r>
            <w:fldChar w:fldCharType="begin"/>
          </w:r>
          <w:r>
            <w:instrText xml:space="preserve"> PAGEREF _Toc12697 \h </w:instrText>
          </w:r>
          <w:r>
            <w:fldChar w:fldCharType="separate"/>
          </w:r>
          <w:r>
            <w:t>5</w:t>
          </w:r>
          <w:r>
            <w:fldChar w:fldCharType="end"/>
          </w:r>
          <w:r>
            <w:rPr>
              <w:rFonts w:hint="eastAsia" w:ascii="黑体" w:hAnsi="黑体" w:eastAsia="黑体" w:cs="黑体"/>
              <w:szCs w:val="35"/>
              <w:lang w:val="en-US" w:eastAsia="zh-CN"/>
            </w:rPr>
            <w:fldChar w:fldCharType="end"/>
          </w:r>
        </w:p>
        <w:p w14:paraId="707AF929">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_Toc26024 </w:instrText>
          </w:r>
          <w:r>
            <w:rPr>
              <w:rFonts w:hint="eastAsia" w:ascii="黑体" w:hAnsi="黑体" w:eastAsia="黑体" w:cs="黑体"/>
              <w:szCs w:val="35"/>
              <w:lang w:val="en-US" w:eastAsia="zh-CN"/>
            </w:rPr>
            <w:fldChar w:fldCharType="separate"/>
          </w:r>
          <w:r>
            <w:rPr>
              <w:rFonts w:hint="eastAsia"/>
              <w:lang w:val="en-US" w:eastAsia="zh-CN"/>
            </w:rPr>
            <w:t>（二）教学计划进程表</w:t>
          </w:r>
          <w:r>
            <w:tab/>
          </w:r>
          <w:r>
            <w:fldChar w:fldCharType="begin"/>
          </w:r>
          <w:r>
            <w:instrText xml:space="preserve"> PAGEREF _Toc26024 \h </w:instrText>
          </w:r>
          <w:r>
            <w:fldChar w:fldCharType="separate"/>
          </w:r>
          <w:r>
            <w:t>6</w:t>
          </w:r>
          <w:r>
            <w:fldChar w:fldCharType="end"/>
          </w:r>
          <w:r>
            <w:rPr>
              <w:rFonts w:hint="eastAsia" w:ascii="黑体" w:hAnsi="黑体" w:eastAsia="黑体" w:cs="黑体"/>
              <w:szCs w:val="35"/>
              <w:lang w:val="en-US" w:eastAsia="zh-CN"/>
            </w:rPr>
            <w:fldChar w:fldCharType="end"/>
          </w:r>
        </w:p>
        <w:p w14:paraId="751B140C">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_Toc32729 </w:instrText>
          </w:r>
          <w:r>
            <w:rPr>
              <w:rFonts w:hint="eastAsia" w:ascii="黑体" w:hAnsi="黑体" w:eastAsia="黑体" w:cs="黑体"/>
              <w:szCs w:val="35"/>
              <w:lang w:val="en-US" w:eastAsia="zh-CN"/>
            </w:rPr>
            <w:fldChar w:fldCharType="separate"/>
          </w:r>
          <w:r>
            <w:t>（三）第二课堂安排表</w:t>
          </w:r>
          <w:r>
            <w:tab/>
          </w:r>
          <w:r>
            <w:fldChar w:fldCharType="begin"/>
          </w:r>
          <w:r>
            <w:instrText xml:space="preserve"> PAGEREF _Toc32729 \h </w:instrText>
          </w:r>
          <w:r>
            <w:fldChar w:fldCharType="separate"/>
          </w:r>
          <w:r>
            <w:t>8</w:t>
          </w:r>
          <w:r>
            <w:fldChar w:fldCharType="end"/>
          </w:r>
          <w:r>
            <w:rPr>
              <w:rFonts w:hint="eastAsia" w:ascii="黑体" w:hAnsi="黑体" w:eastAsia="黑体" w:cs="黑体"/>
              <w:szCs w:val="35"/>
              <w:lang w:val="en-US" w:eastAsia="zh-CN"/>
            </w:rPr>
            <w:fldChar w:fldCharType="end"/>
          </w:r>
        </w:p>
        <w:p w14:paraId="79F1748D">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_Toc29660 </w:instrText>
          </w:r>
          <w:r>
            <w:rPr>
              <w:rFonts w:hint="eastAsia" w:ascii="黑体" w:hAnsi="黑体" w:eastAsia="黑体" w:cs="黑体"/>
              <w:szCs w:val="35"/>
              <w:lang w:val="en-US" w:eastAsia="zh-CN"/>
            </w:rPr>
            <w:fldChar w:fldCharType="separate"/>
          </w:r>
          <w:r>
            <w:t>（四）实践教学安排表</w:t>
          </w:r>
          <w:r>
            <w:tab/>
          </w:r>
          <w:r>
            <w:fldChar w:fldCharType="begin"/>
          </w:r>
          <w:r>
            <w:instrText xml:space="preserve"> PAGEREF _Toc29660 \h </w:instrText>
          </w:r>
          <w:r>
            <w:fldChar w:fldCharType="separate"/>
          </w:r>
          <w:r>
            <w:t>9</w:t>
          </w:r>
          <w:r>
            <w:fldChar w:fldCharType="end"/>
          </w:r>
          <w:r>
            <w:rPr>
              <w:rFonts w:hint="eastAsia" w:ascii="黑体" w:hAnsi="黑体" w:eastAsia="黑体" w:cs="黑体"/>
              <w:szCs w:val="35"/>
              <w:lang w:val="en-US" w:eastAsia="zh-CN"/>
            </w:rPr>
            <w:fldChar w:fldCharType="end"/>
          </w:r>
        </w:p>
        <w:p w14:paraId="1649CACE">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_Toc24318 </w:instrText>
          </w:r>
          <w:r>
            <w:rPr>
              <w:rFonts w:hint="eastAsia" w:ascii="黑体" w:hAnsi="黑体" w:eastAsia="黑体" w:cs="黑体"/>
              <w:szCs w:val="35"/>
              <w:lang w:val="en-US" w:eastAsia="zh-CN"/>
            </w:rPr>
            <w:fldChar w:fldCharType="separate"/>
          </w:r>
          <w:r>
            <w:t>（</w:t>
          </w:r>
          <w:r>
            <w:rPr>
              <w:rFonts w:hint="eastAsia"/>
              <w:lang w:val="en-US" w:eastAsia="zh-CN"/>
            </w:rPr>
            <w:t>五</w:t>
          </w:r>
          <w:r>
            <w:t>）各模块学时、学分</w:t>
          </w:r>
          <w:r>
            <w:rPr>
              <w:rFonts w:hint="eastAsia"/>
              <w:lang w:val="en-US" w:eastAsia="zh-CN"/>
            </w:rPr>
            <w:t>汇总</w:t>
          </w:r>
          <w:r>
            <w:t>表</w:t>
          </w:r>
          <w:r>
            <w:tab/>
          </w:r>
          <w:r>
            <w:fldChar w:fldCharType="begin"/>
          </w:r>
          <w:r>
            <w:instrText xml:space="preserve"> PAGEREF _Toc24318 \h </w:instrText>
          </w:r>
          <w:r>
            <w:fldChar w:fldCharType="separate"/>
          </w:r>
          <w:r>
            <w:t>9</w:t>
          </w:r>
          <w:r>
            <w:fldChar w:fldCharType="end"/>
          </w:r>
          <w:r>
            <w:rPr>
              <w:rFonts w:hint="eastAsia" w:ascii="黑体" w:hAnsi="黑体" w:eastAsia="黑体" w:cs="黑体"/>
              <w:szCs w:val="35"/>
              <w:lang w:val="en-US" w:eastAsia="zh-CN"/>
            </w:rPr>
            <w:fldChar w:fldCharType="end"/>
          </w:r>
        </w:p>
        <w:p w14:paraId="72887877">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_Toc23366 </w:instrText>
          </w:r>
          <w:r>
            <w:rPr>
              <w:rFonts w:hint="eastAsia" w:ascii="黑体" w:hAnsi="黑体" w:eastAsia="黑体" w:cs="黑体"/>
              <w:szCs w:val="35"/>
              <w:lang w:val="en-US" w:eastAsia="zh-CN"/>
            </w:rPr>
            <w:fldChar w:fldCharType="separate"/>
          </w:r>
          <w:r>
            <w:t>八、实施保障</w:t>
          </w:r>
          <w:r>
            <w:tab/>
          </w:r>
          <w:r>
            <w:fldChar w:fldCharType="begin"/>
          </w:r>
          <w:r>
            <w:instrText xml:space="preserve"> PAGEREF _Toc23366 \h </w:instrText>
          </w:r>
          <w:r>
            <w:fldChar w:fldCharType="separate"/>
          </w:r>
          <w:r>
            <w:t>10</w:t>
          </w:r>
          <w:r>
            <w:fldChar w:fldCharType="end"/>
          </w:r>
          <w:r>
            <w:rPr>
              <w:rFonts w:hint="eastAsia" w:ascii="黑体" w:hAnsi="黑体" w:eastAsia="黑体" w:cs="黑体"/>
              <w:szCs w:val="35"/>
              <w:lang w:val="en-US" w:eastAsia="zh-CN"/>
            </w:rPr>
            <w:fldChar w:fldCharType="end"/>
          </w:r>
        </w:p>
        <w:p w14:paraId="228E7531">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_Toc13267 </w:instrText>
          </w:r>
          <w:r>
            <w:rPr>
              <w:rFonts w:hint="eastAsia" w:ascii="黑体" w:hAnsi="黑体" w:eastAsia="黑体" w:cs="黑体"/>
              <w:szCs w:val="35"/>
              <w:lang w:val="en-US" w:eastAsia="zh-CN"/>
            </w:rPr>
            <w:fldChar w:fldCharType="separate"/>
          </w:r>
          <w:r>
            <w:t>（一）师资队伍</w:t>
          </w:r>
          <w:r>
            <w:tab/>
          </w:r>
          <w:r>
            <w:fldChar w:fldCharType="begin"/>
          </w:r>
          <w:r>
            <w:instrText xml:space="preserve"> PAGEREF _Toc13267 \h </w:instrText>
          </w:r>
          <w:r>
            <w:fldChar w:fldCharType="separate"/>
          </w:r>
          <w:r>
            <w:t>10</w:t>
          </w:r>
          <w:r>
            <w:fldChar w:fldCharType="end"/>
          </w:r>
          <w:r>
            <w:rPr>
              <w:rFonts w:hint="eastAsia" w:ascii="黑体" w:hAnsi="黑体" w:eastAsia="黑体" w:cs="黑体"/>
              <w:szCs w:val="35"/>
              <w:lang w:val="en-US" w:eastAsia="zh-CN"/>
            </w:rPr>
            <w:fldChar w:fldCharType="end"/>
          </w:r>
        </w:p>
        <w:p w14:paraId="4AEBC5D1">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_Toc28336 </w:instrText>
          </w:r>
          <w:r>
            <w:rPr>
              <w:rFonts w:hint="eastAsia" w:ascii="黑体" w:hAnsi="黑体" w:eastAsia="黑体" w:cs="黑体"/>
              <w:szCs w:val="35"/>
              <w:lang w:val="en-US" w:eastAsia="zh-CN"/>
            </w:rPr>
            <w:fldChar w:fldCharType="separate"/>
          </w:r>
          <w:r>
            <w:t>（二）教学设施</w:t>
          </w:r>
          <w:r>
            <w:tab/>
          </w:r>
          <w:r>
            <w:fldChar w:fldCharType="begin"/>
          </w:r>
          <w:r>
            <w:instrText xml:space="preserve"> PAGEREF _Toc28336 \h </w:instrText>
          </w:r>
          <w:r>
            <w:fldChar w:fldCharType="separate"/>
          </w:r>
          <w:r>
            <w:t>10</w:t>
          </w:r>
          <w:r>
            <w:fldChar w:fldCharType="end"/>
          </w:r>
          <w:r>
            <w:rPr>
              <w:rFonts w:hint="eastAsia" w:ascii="黑体" w:hAnsi="黑体" w:eastAsia="黑体" w:cs="黑体"/>
              <w:szCs w:val="35"/>
              <w:lang w:val="en-US" w:eastAsia="zh-CN"/>
            </w:rPr>
            <w:fldChar w:fldCharType="end"/>
          </w:r>
        </w:p>
        <w:p w14:paraId="11CE64BF">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_Toc10872 </w:instrText>
          </w:r>
          <w:r>
            <w:rPr>
              <w:rFonts w:hint="eastAsia" w:ascii="黑体" w:hAnsi="黑体" w:eastAsia="黑体" w:cs="黑体"/>
              <w:szCs w:val="35"/>
              <w:lang w:val="en-US" w:eastAsia="zh-CN"/>
            </w:rPr>
            <w:fldChar w:fldCharType="separate"/>
          </w:r>
          <w:r>
            <w:t>（三）教学资源</w:t>
          </w:r>
          <w:r>
            <w:tab/>
          </w:r>
          <w:r>
            <w:fldChar w:fldCharType="begin"/>
          </w:r>
          <w:r>
            <w:instrText xml:space="preserve"> PAGEREF _Toc10872 \h </w:instrText>
          </w:r>
          <w:r>
            <w:fldChar w:fldCharType="separate"/>
          </w:r>
          <w:r>
            <w:t>11</w:t>
          </w:r>
          <w:r>
            <w:fldChar w:fldCharType="end"/>
          </w:r>
          <w:r>
            <w:rPr>
              <w:rFonts w:hint="eastAsia" w:ascii="黑体" w:hAnsi="黑体" w:eastAsia="黑体" w:cs="黑体"/>
              <w:szCs w:val="35"/>
              <w:lang w:val="en-US" w:eastAsia="zh-CN"/>
            </w:rPr>
            <w:fldChar w:fldCharType="end"/>
          </w:r>
        </w:p>
        <w:p w14:paraId="591EE0E6">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_Toc17461 </w:instrText>
          </w:r>
          <w:r>
            <w:rPr>
              <w:rFonts w:hint="eastAsia" w:ascii="黑体" w:hAnsi="黑体" w:eastAsia="黑体" w:cs="黑体"/>
              <w:szCs w:val="35"/>
              <w:lang w:val="en-US" w:eastAsia="zh-CN"/>
            </w:rPr>
            <w:fldChar w:fldCharType="separate"/>
          </w:r>
          <w:r>
            <w:t>（四）教学方法</w:t>
          </w:r>
          <w:r>
            <w:tab/>
          </w:r>
          <w:r>
            <w:fldChar w:fldCharType="begin"/>
          </w:r>
          <w:r>
            <w:instrText xml:space="preserve"> PAGEREF _Toc17461 \h </w:instrText>
          </w:r>
          <w:r>
            <w:fldChar w:fldCharType="separate"/>
          </w:r>
          <w:r>
            <w:t>11</w:t>
          </w:r>
          <w:r>
            <w:fldChar w:fldCharType="end"/>
          </w:r>
          <w:r>
            <w:rPr>
              <w:rFonts w:hint="eastAsia" w:ascii="黑体" w:hAnsi="黑体" w:eastAsia="黑体" w:cs="黑体"/>
              <w:szCs w:val="35"/>
              <w:lang w:val="en-US" w:eastAsia="zh-CN"/>
            </w:rPr>
            <w:fldChar w:fldCharType="end"/>
          </w:r>
        </w:p>
        <w:p w14:paraId="69FD3281">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_Toc6451 </w:instrText>
          </w:r>
          <w:r>
            <w:rPr>
              <w:rFonts w:hint="eastAsia" w:ascii="黑体" w:hAnsi="黑体" w:eastAsia="黑体" w:cs="黑体"/>
              <w:szCs w:val="35"/>
              <w:lang w:val="en-US" w:eastAsia="zh-CN"/>
            </w:rPr>
            <w:fldChar w:fldCharType="separate"/>
          </w:r>
          <w:r>
            <w:t>（五）学习评价</w:t>
          </w:r>
          <w:r>
            <w:tab/>
          </w:r>
          <w:r>
            <w:fldChar w:fldCharType="begin"/>
          </w:r>
          <w:r>
            <w:instrText xml:space="preserve"> PAGEREF _Toc6451 \h </w:instrText>
          </w:r>
          <w:r>
            <w:fldChar w:fldCharType="separate"/>
          </w:r>
          <w:r>
            <w:t>11</w:t>
          </w:r>
          <w:r>
            <w:fldChar w:fldCharType="end"/>
          </w:r>
          <w:r>
            <w:rPr>
              <w:rFonts w:hint="eastAsia" w:ascii="黑体" w:hAnsi="黑体" w:eastAsia="黑体" w:cs="黑体"/>
              <w:szCs w:val="35"/>
              <w:lang w:val="en-US" w:eastAsia="zh-CN"/>
            </w:rPr>
            <w:fldChar w:fldCharType="end"/>
          </w:r>
        </w:p>
        <w:p w14:paraId="130C4383">
          <w:pPr>
            <w:pStyle w:val="8"/>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_Toc22344 </w:instrText>
          </w:r>
          <w:r>
            <w:rPr>
              <w:rFonts w:hint="eastAsia" w:ascii="黑体" w:hAnsi="黑体" w:eastAsia="黑体" w:cs="黑体"/>
              <w:szCs w:val="35"/>
              <w:lang w:val="en-US" w:eastAsia="zh-CN"/>
            </w:rPr>
            <w:fldChar w:fldCharType="separate"/>
          </w:r>
          <w:r>
            <w:t>（六）质量管理</w:t>
          </w:r>
          <w:r>
            <w:tab/>
          </w:r>
          <w:r>
            <w:fldChar w:fldCharType="begin"/>
          </w:r>
          <w:r>
            <w:instrText xml:space="preserve"> PAGEREF _Toc22344 \h </w:instrText>
          </w:r>
          <w:r>
            <w:fldChar w:fldCharType="separate"/>
          </w:r>
          <w:r>
            <w:t>12</w:t>
          </w:r>
          <w:r>
            <w:fldChar w:fldCharType="end"/>
          </w:r>
          <w:r>
            <w:rPr>
              <w:rFonts w:hint="eastAsia" w:ascii="黑体" w:hAnsi="黑体" w:eastAsia="黑体" w:cs="黑体"/>
              <w:szCs w:val="35"/>
              <w:lang w:val="en-US" w:eastAsia="zh-CN"/>
            </w:rPr>
            <w:fldChar w:fldCharType="end"/>
          </w:r>
        </w:p>
        <w:p w14:paraId="2A276AC5">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_Toc15049 </w:instrText>
          </w:r>
          <w:r>
            <w:rPr>
              <w:rFonts w:hint="eastAsia" w:ascii="黑体" w:hAnsi="黑体" w:eastAsia="黑体" w:cs="黑体"/>
              <w:szCs w:val="35"/>
              <w:lang w:val="en-US" w:eastAsia="zh-CN"/>
            </w:rPr>
            <w:fldChar w:fldCharType="separate"/>
          </w:r>
          <w:r>
            <w:t>九、毕业要求</w:t>
          </w:r>
          <w:r>
            <w:tab/>
          </w:r>
          <w:r>
            <w:fldChar w:fldCharType="begin"/>
          </w:r>
          <w:r>
            <w:instrText xml:space="preserve"> PAGEREF _Toc15049 \h </w:instrText>
          </w:r>
          <w:r>
            <w:fldChar w:fldCharType="separate"/>
          </w:r>
          <w:r>
            <w:t>12</w:t>
          </w:r>
          <w:r>
            <w:fldChar w:fldCharType="end"/>
          </w:r>
          <w:r>
            <w:rPr>
              <w:rFonts w:hint="eastAsia" w:ascii="黑体" w:hAnsi="黑体" w:eastAsia="黑体" w:cs="黑体"/>
              <w:szCs w:val="35"/>
              <w:lang w:val="en-US" w:eastAsia="zh-CN"/>
            </w:rPr>
            <w:fldChar w:fldCharType="end"/>
          </w:r>
        </w:p>
        <w:p w14:paraId="3BAB7F3E">
          <w:pPr>
            <w:pStyle w:val="7"/>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_Toc30778 </w:instrText>
          </w:r>
          <w:r>
            <w:rPr>
              <w:rFonts w:hint="eastAsia" w:ascii="黑体" w:hAnsi="黑体" w:eastAsia="黑体" w:cs="黑体"/>
              <w:szCs w:val="35"/>
              <w:lang w:val="en-US" w:eastAsia="zh-CN"/>
            </w:rPr>
            <w:fldChar w:fldCharType="separate"/>
          </w:r>
          <w:r>
            <w:t>十、附录</w:t>
          </w:r>
          <w:r>
            <w:tab/>
          </w:r>
          <w:r>
            <w:fldChar w:fldCharType="begin"/>
          </w:r>
          <w:r>
            <w:instrText xml:space="preserve"> PAGEREF _Toc30778 \h </w:instrText>
          </w:r>
          <w:r>
            <w:fldChar w:fldCharType="separate"/>
          </w:r>
          <w:r>
            <w:t>12</w:t>
          </w:r>
          <w:r>
            <w:fldChar w:fldCharType="end"/>
          </w:r>
          <w:r>
            <w:rPr>
              <w:rFonts w:hint="eastAsia" w:ascii="黑体" w:hAnsi="黑体" w:eastAsia="黑体" w:cs="黑体"/>
              <w:szCs w:val="35"/>
              <w:lang w:val="en-US" w:eastAsia="zh-CN"/>
            </w:rPr>
            <w:fldChar w:fldCharType="end"/>
          </w:r>
        </w:p>
        <w:p w14:paraId="71ACDDB9">
          <w:pPr>
            <w:spacing w:line="228" w:lineRule="auto"/>
            <w:jc w:val="both"/>
            <w:rPr>
              <w:rFonts w:hint="eastAsia" w:ascii="黑体" w:hAnsi="黑体" w:eastAsia="黑体" w:cs="黑体"/>
              <w:b/>
              <w:snapToGrid w:val="0"/>
              <w:color w:val="000000"/>
              <w:kern w:val="0"/>
              <w:sz w:val="28"/>
              <w:szCs w:val="35"/>
              <w:lang w:val="en-US" w:eastAsia="zh-CN" w:bidi="ar-SA"/>
            </w:rPr>
          </w:pPr>
          <w:r>
            <w:rPr>
              <w:rFonts w:hint="eastAsia" w:ascii="黑体" w:hAnsi="黑体" w:eastAsia="黑体" w:cs="黑体"/>
              <w:szCs w:val="35"/>
              <w:lang w:val="en-US" w:eastAsia="zh-CN"/>
            </w:rPr>
            <w:fldChar w:fldCharType="end"/>
          </w:r>
        </w:p>
      </w:sdtContent>
    </w:sdt>
    <w:p w14:paraId="58BAFC7F">
      <w:pPr>
        <w:spacing w:line="228" w:lineRule="auto"/>
        <w:jc w:val="both"/>
        <w:rPr>
          <w:rFonts w:hint="eastAsia" w:ascii="黑体" w:hAnsi="黑体" w:eastAsia="黑体" w:cs="黑体"/>
          <w:b/>
          <w:snapToGrid w:val="0"/>
          <w:color w:val="000000"/>
          <w:kern w:val="0"/>
          <w:sz w:val="28"/>
          <w:szCs w:val="35"/>
          <w:lang w:val="en-US" w:eastAsia="zh-CN" w:bidi="ar-SA"/>
        </w:rPr>
        <w:sectPr>
          <w:pgSz w:w="11906" w:h="16839"/>
          <w:pgMar w:top="400" w:right="1785" w:bottom="1127" w:left="1785" w:header="0" w:footer="848" w:gutter="0"/>
          <w:pgBorders>
            <w:top w:val="none" w:sz="0" w:space="0"/>
            <w:left w:val="none" w:sz="0" w:space="0"/>
            <w:bottom w:val="none" w:sz="0" w:space="0"/>
            <w:right w:val="none" w:sz="0" w:space="0"/>
          </w:pgBorders>
          <w:cols w:space="720" w:num="1"/>
        </w:sectPr>
      </w:pPr>
    </w:p>
    <w:p w14:paraId="33C2432C">
      <w:pPr>
        <w:pStyle w:val="2"/>
        <w:bidi w:val="0"/>
      </w:pPr>
      <w:bookmarkStart w:id="0" w:name="_Toc6833"/>
      <w:bookmarkStart w:id="1" w:name="_Toc7576"/>
      <w:r>
        <w:t>一、专业名称及代码</w:t>
      </w:r>
      <w:bookmarkEnd w:id="0"/>
      <w:bookmarkEnd w:id="1"/>
    </w:p>
    <w:p w14:paraId="2055B521">
      <w:pPr>
        <w:pStyle w:val="5"/>
        <w:spacing w:before="177" w:line="318" w:lineRule="auto"/>
        <w:ind w:left="352" w:right="465" w:firstLine="630"/>
        <w:jc w:val="left"/>
        <w:rPr>
          <w:rFonts w:hint="eastAsia"/>
          <w:b w:val="0"/>
          <w:color w:val="auto"/>
          <w:spacing w:val="-1"/>
          <w:kern w:val="0"/>
          <w:highlight w:val="none"/>
          <w:lang w:eastAsia="zh-CN"/>
        </w:rPr>
      </w:pPr>
      <w:r>
        <w:rPr>
          <w:rFonts w:hint="eastAsia"/>
          <w:b w:val="0"/>
          <w:color w:val="auto"/>
          <w:spacing w:val="-1"/>
          <w:kern w:val="0"/>
          <w:highlight w:val="none"/>
          <w:lang w:eastAsia="zh-CN"/>
        </w:rPr>
        <w:t>（一）专业名称：临床医学</w:t>
      </w:r>
    </w:p>
    <w:p w14:paraId="0705F5C1">
      <w:pPr>
        <w:pStyle w:val="5"/>
        <w:spacing w:before="177" w:line="318" w:lineRule="auto"/>
        <w:ind w:left="352" w:right="465" w:firstLine="630"/>
        <w:jc w:val="left"/>
        <w:rPr>
          <w:rFonts w:hint="eastAsia"/>
          <w:b w:val="0"/>
          <w:color w:val="auto"/>
          <w:spacing w:val="-1"/>
          <w:kern w:val="0"/>
          <w:highlight w:val="none"/>
          <w:lang w:eastAsia="zh-CN"/>
        </w:rPr>
      </w:pPr>
      <w:r>
        <w:rPr>
          <w:rFonts w:hint="eastAsia"/>
          <w:b w:val="0"/>
          <w:color w:val="auto"/>
          <w:spacing w:val="-1"/>
          <w:kern w:val="0"/>
          <w:highlight w:val="none"/>
          <w:lang w:eastAsia="zh-CN"/>
        </w:rPr>
        <w:t>（二）专业代码：520101K</w:t>
      </w:r>
    </w:p>
    <w:p w14:paraId="7478E3FB">
      <w:pPr>
        <w:pStyle w:val="2"/>
        <w:bidi w:val="0"/>
      </w:pPr>
      <w:bookmarkStart w:id="2" w:name="_Toc17581"/>
      <w:bookmarkStart w:id="3" w:name="_Toc32405"/>
      <w:r>
        <w:t>二、入学要求</w:t>
      </w:r>
      <w:bookmarkEnd w:id="2"/>
      <w:bookmarkEnd w:id="3"/>
    </w:p>
    <w:p w14:paraId="29581D93">
      <w:pPr>
        <w:pStyle w:val="5"/>
        <w:spacing w:before="177" w:line="318" w:lineRule="auto"/>
        <w:ind w:left="352" w:right="465" w:firstLine="630"/>
        <w:jc w:val="left"/>
        <w:rPr>
          <w:rFonts w:hint="eastAsia"/>
          <w:b w:val="0"/>
          <w:color w:val="auto"/>
          <w:spacing w:val="-1"/>
          <w:kern w:val="0"/>
          <w:highlight w:val="none"/>
          <w:lang w:eastAsia="zh-CN"/>
        </w:rPr>
      </w:pPr>
      <w:r>
        <w:rPr>
          <w:rFonts w:hint="eastAsia"/>
          <w:b w:val="0"/>
          <w:color w:val="auto"/>
          <w:spacing w:val="-1"/>
          <w:kern w:val="0"/>
          <w:highlight w:val="none"/>
          <w:lang w:eastAsia="zh-CN"/>
        </w:rPr>
        <w:t>普通高级中学毕业（理科）。</w:t>
      </w:r>
    </w:p>
    <w:p w14:paraId="52F0BDA7">
      <w:pPr>
        <w:pStyle w:val="2"/>
        <w:keepNext/>
        <w:keepLines/>
        <w:pageBreakBefore w:val="0"/>
        <w:widowControl/>
        <w:kinsoku w:val="0"/>
        <w:wordWrap/>
        <w:overflowPunct/>
        <w:topLinePunct w:val="0"/>
        <w:autoSpaceDE w:val="0"/>
        <w:autoSpaceDN w:val="0"/>
        <w:bidi w:val="0"/>
        <w:adjustRightInd w:val="0"/>
        <w:snapToGrid w:val="0"/>
        <w:textAlignment w:val="baseline"/>
      </w:pPr>
      <w:bookmarkStart w:id="4" w:name="_Toc18092"/>
      <w:bookmarkStart w:id="5" w:name="_Toc24691"/>
      <w:r>
        <w:t>三、修业年限</w:t>
      </w:r>
      <w:bookmarkEnd w:id="4"/>
      <w:bookmarkEnd w:id="5"/>
    </w:p>
    <w:p w14:paraId="51ACFAAA">
      <w:pPr>
        <w:pStyle w:val="5"/>
        <w:spacing w:before="177" w:line="318" w:lineRule="auto"/>
        <w:ind w:left="352" w:right="465" w:firstLine="630"/>
        <w:jc w:val="left"/>
        <w:rPr>
          <w:rFonts w:hint="eastAsia"/>
          <w:b w:val="0"/>
          <w:color w:val="auto"/>
          <w:spacing w:val="-1"/>
          <w:kern w:val="0"/>
          <w:highlight w:val="none"/>
          <w:lang w:eastAsia="zh-CN"/>
        </w:rPr>
      </w:pPr>
      <w:r>
        <w:rPr>
          <w:rFonts w:hint="eastAsia"/>
          <w:b w:val="0"/>
          <w:color w:val="auto"/>
          <w:spacing w:val="-1"/>
          <w:kern w:val="0"/>
          <w:highlight w:val="none"/>
          <w:lang w:eastAsia="zh-CN"/>
        </w:rPr>
        <w:t>全日制3年（2+1/1.5+0.5+1）</w:t>
      </w:r>
    </w:p>
    <w:p w14:paraId="3005944E">
      <w:pPr>
        <w:pStyle w:val="2"/>
        <w:numPr>
          <w:ilvl w:val="0"/>
          <w:numId w:val="0"/>
        </w:numPr>
        <w:bidi w:val="0"/>
      </w:pPr>
      <w:bookmarkStart w:id="6" w:name="_Toc2441"/>
      <w:bookmarkStart w:id="7" w:name="_Toc6980"/>
      <w:r>
        <w:rPr>
          <w:rFonts w:hint="eastAsia" w:ascii="Arial" w:hAnsi="Arial" w:eastAsia="黑体" w:cs="Arial"/>
          <w:b/>
          <w:snapToGrid w:val="0"/>
          <w:color w:val="000000"/>
          <w:kern w:val="44"/>
          <w:sz w:val="28"/>
          <w:szCs w:val="21"/>
          <w:lang w:val="en-US" w:eastAsia="en-US" w:bidi="ar-SA"/>
        </w:rPr>
        <w:t>四、</w:t>
      </w:r>
      <w:r>
        <w:t>职业面向</w:t>
      </w:r>
      <w:bookmarkEnd w:id="6"/>
      <w:bookmarkEnd w:id="7"/>
    </w:p>
    <w:p w14:paraId="261E3AA8">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rPr>
          <w:rFonts w:hint="eastAsia" w:ascii="仿宋_GB2312" w:hAnsi="Times New Roman" w:eastAsia="仿宋_GB2312" w:cs="Times New Roman"/>
          <w:color w:val="0000FF"/>
          <w:kern w:val="2"/>
          <w:sz w:val="24"/>
          <w:szCs w:val="24"/>
          <w:lang w:val="en-US" w:eastAsia="zh-CN" w:bidi="ar-SA"/>
        </w:rPr>
      </w:pPr>
      <w:bookmarkStart w:id="8" w:name="_Toc15984"/>
      <w:r>
        <w:rPr>
          <w:rFonts w:hint="eastAsia"/>
          <w:lang w:eastAsia="zh-CN"/>
        </w:rPr>
        <w:t>（一）职业领域</w:t>
      </w:r>
      <w:bookmarkEnd w:id="8"/>
    </w:p>
    <w:tbl>
      <w:tblPr>
        <w:tblStyle w:val="9"/>
        <w:tblpPr w:leftFromText="180" w:rightFromText="180" w:vertAnchor="text" w:horzAnchor="page" w:tblpXSpec="center" w:tblpY="268"/>
        <w:tblOverlap w:val="never"/>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429"/>
        <w:gridCol w:w="5570"/>
      </w:tblGrid>
      <w:tr w14:paraId="6318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exact"/>
          <w:jc w:val="center"/>
        </w:trPr>
        <w:tc>
          <w:tcPr>
            <w:tcW w:w="3429" w:type="dxa"/>
            <w:shd w:val="clear" w:color="auto" w:fill="auto"/>
            <w:vAlign w:val="center"/>
          </w:tcPr>
          <w:p w14:paraId="62CDE17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所属专业大类</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570" w:type="dxa"/>
            <w:shd w:val="clear" w:color="auto" w:fill="auto"/>
            <w:vAlign w:val="center"/>
          </w:tcPr>
          <w:p w14:paraId="36BC71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zh-CN"/>
              </w:rPr>
              <w:t>医疗卫生大类（</w:t>
            </w:r>
            <w:r>
              <w:rPr>
                <w:rFonts w:ascii="楷体" w:hAnsi="楷体" w:eastAsia="楷体" w:cs="楷体"/>
                <w:b w:val="0"/>
                <w:bCs w:val="0"/>
                <w:spacing w:val="-2"/>
                <w:sz w:val="20"/>
                <w:szCs w:val="20"/>
                <w:lang w:val="en-US" w:eastAsia="zh-CN"/>
              </w:rPr>
              <w:t>52</w:t>
            </w:r>
            <w:r>
              <w:rPr>
                <w:rFonts w:hint="eastAsia" w:ascii="楷体" w:hAnsi="楷体" w:eastAsia="楷体" w:cs="楷体"/>
                <w:b w:val="0"/>
                <w:bCs w:val="0"/>
                <w:spacing w:val="-2"/>
                <w:sz w:val="20"/>
                <w:szCs w:val="20"/>
                <w:lang w:val="en-US" w:eastAsia="zh-CN"/>
              </w:rPr>
              <w:t>）</w:t>
            </w:r>
          </w:p>
        </w:tc>
      </w:tr>
      <w:tr w14:paraId="1B2F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exact"/>
          <w:jc w:val="center"/>
        </w:trPr>
        <w:tc>
          <w:tcPr>
            <w:tcW w:w="3429" w:type="dxa"/>
            <w:shd w:val="clear" w:color="auto" w:fill="auto"/>
            <w:vAlign w:val="center"/>
          </w:tcPr>
          <w:p w14:paraId="4496C9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所属专业类</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570" w:type="dxa"/>
            <w:shd w:val="clear" w:color="auto" w:fill="auto"/>
            <w:vAlign w:val="center"/>
          </w:tcPr>
          <w:p w14:paraId="3ADE093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zh-CN"/>
              </w:rPr>
              <w:t>临床医学类（</w:t>
            </w:r>
            <w:r>
              <w:rPr>
                <w:rFonts w:ascii="楷体" w:hAnsi="楷体" w:eastAsia="楷体" w:cs="楷体"/>
                <w:b w:val="0"/>
                <w:bCs w:val="0"/>
                <w:spacing w:val="-2"/>
                <w:sz w:val="20"/>
                <w:szCs w:val="20"/>
                <w:lang w:val="en-US" w:eastAsia="zh-CN"/>
              </w:rPr>
              <w:t>5201</w:t>
            </w:r>
            <w:r>
              <w:rPr>
                <w:rFonts w:hint="eastAsia" w:ascii="楷体" w:hAnsi="楷体" w:eastAsia="楷体" w:cs="楷体"/>
                <w:b w:val="0"/>
                <w:bCs w:val="0"/>
                <w:spacing w:val="-2"/>
                <w:sz w:val="20"/>
                <w:szCs w:val="20"/>
                <w:lang w:val="en-US" w:eastAsia="zh-CN"/>
              </w:rPr>
              <w:t>）</w:t>
            </w:r>
          </w:p>
        </w:tc>
      </w:tr>
      <w:tr w14:paraId="0FF4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exact"/>
          <w:jc w:val="center"/>
        </w:trPr>
        <w:tc>
          <w:tcPr>
            <w:tcW w:w="3429" w:type="dxa"/>
            <w:shd w:val="clear" w:color="auto" w:fill="auto"/>
            <w:vAlign w:val="center"/>
          </w:tcPr>
          <w:p w14:paraId="00D1DAB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对应行业</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570" w:type="dxa"/>
            <w:shd w:val="clear" w:color="auto" w:fill="auto"/>
            <w:vAlign w:val="center"/>
          </w:tcPr>
          <w:p w14:paraId="61D6B07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卫生（84）</w:t>
            </w:r>
          </w:p>
        </w:tc>
      </w:tr>
      <w:tr w14:paraId="28E0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exact"/>
          <w:jc w:val="center"/>
        </w:trPr>
        <w:tc>
          <w:tcPr>
            <w:tcW w:w="3429" w:type="dxa"/>
            <w:shd w:val="clear" w:color="auto" w:fill="auto"/>
            <w:vAlign w:val="center"/>
          </w:tcPr>
          <w:p w14:paraId="232135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主要职业类别</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570" w:type="dxa"/>
            <w:shd w:val="clear" w:color="auto" w:fill="auto"/>
            <w:vAlign w:val="center"/>
          </w:tcPr>
          <w:p w14:paraId="6E11CC5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全科医师（2-05-01-19）</w:t>
            </w:r>
          </w:p>
          <w:p w14:paraId="4511313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zh-CN"/>
              </w:rPr>
              <w:t>乡村医生（2-05-09-00）</w:t>
            </w:r>
          </w:p>
        </w:tc>
      </w:tr>
      <w:tr w14:paraId="2424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2" w:hRule="exact"/>
          <w:jc w:val="center"/>
        </w:trPr>
        <w:tc>
          <w:tcPr>
            <w:tcW w:w="3429" w:type="dxa"/>
            <w:shd w:val="clear" w:color="auto" w:fill="auto"/>
            <w:vAlign w:val="center"/>
          </w:tcPr>
          <w:p w14:paraId="7269B16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主要岗位</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群</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或技术领域</w:t>
            </w:r>
          </w:p>
        </w:tc>
        <w:tc>
          <w:tcPr>
            <w:tcW w:w="5570" w:type="dxa"/>
            <w:shd w:val="clear" w:color="auto" w:fill="auto"/>
            <w:vAlign w:val="center"/>
          </w:tcPr>
          <w:p w14:paraId="5B7526A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基本公共卫生服务</w:t>
            </w:r>
          </w:p>
          <w:p w14:paraId="475A62C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临床医疗</w:t>
            </w:r>
          </w:p>
          <w:p w14:paraId="1E4B33E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影像诊断</w:t>
            </w:r>
          </w:p>
          <w:p w14:paraId="6B9FE0B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医养结合服务</w:t>
            </w:r>
          </w:p>
          <w:p w14:paraId="38C8F80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zh-CN"/>
              </w:rPr>
              <w:t>健康大数据分析</w:t>
            </w:r>
          </w:p>
        </w:tc>
      </w:tr>
      <w:tr w14:paraId="09D9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exact"/>
          <w:jc w:val="center"/>
        </w:trPr>
        <w:tc>
          <w:tcPr>
            <w:tcW w:w="3429" w:type="dxa"/>
            <w:shd w:val="clear" w:color="auto" w:fill="auto"/>
            <w:vAlign w:val="center"/>
          </w:tcPr>
          <w:p w14:paraId="5C0386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职业类证书</w:t>
            </w:r>
          </w:p>
        </w:tc>
        <w:tc>
          <w:tcPr>
            <w:tcW w:w="5570" w:type="dxa"/>
            <w:shd w:val="clear" w:color="auto" w:fill="auto"/>
            <w:vAlign w:val="center"/>
          </w:tcPr>
          <w:p w14:paraId="1A94DFC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助理执业医师资格</w:t>
            </w:r>
          </w:p>
          <w:p w14:paraId="0E2B20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全科医师资格</w:t>
            </w:r>
          </w:p>
          <w:p w14:paraId="5F1DEF7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卫生专业技术资格（影像技师）</w:t>
            </w:r>
          </w:p>
          <w:p w14:paraId="547ECAB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养老护理员</w:t>
            </w:r>
          </w:p>
          <w:p w14:paraId="12FDF92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zh-CN"/>
              </w:rPr>
              <w:t>健康管理师</w:t>
            </w:r>
          </w:p>
        </w:tc>
      </w:tr>
    </w:tbl>
    <w:p w14:paraId="5CC5E202">
      <w:pPr>
        <w:pStyle w:val="5"/>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_GB2312" w:hAnsi="Times New Roman" w:eastAsia="仿宋_GB2312" w:cs="Times New Roman"/>
          <w:color w:val="0000FF"/>
          <w:kern w:val="2"/>
          <w:sz w:val="24"/>
          <w:szCs w:val="24"/>
          <w:lang w:val="en-US" w:eastAsia="zh-CN" w:bidi="ar-SA"/>
        </w:rPr>
      </w:pPr>
    </w:p>
    <w:p w14:paraId="74DAEE52">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9" w:name="_Toc8197"/>
      <w:bookmarkStart w:id="10" w:name="_Toc6355"/>
      <w:r>
        <w:rPr>
          <w:rFonts w:hint="eastAsia"/>
          <w:lang w:eastAsia="zh-CN"/>
        </w:rPr>
        <w:t>（</w:t>
      </w:r>
      <w:r>
        <w:rPr>
          <w:rFonts w:hint="eastAsia"/>
          <w:lang w:val="en-US" w:eastAsia="zh-CN"/>
        </w:rPr>
        <w:t>二</w:t>
      </w:r>
      <w:r>
        <w:rPr>
          <w:rFonts w:hint="eastAsia"/>
          <w:lang w:eastAsia="zh-CN"/>
        </w:rPr>
        <w:t>）</w:t>
      </w:r>
      <w:r>
        <w:t>就业岗位及相应职业能力描述</w:t>
      </w:r>
      <w:bookmarkEnd w:id="9"/>
      <w:bookmarkEnd w:id="10"/>
    </w:p>
    <w:p w14:paraId="217D22AF">
      <w:pPr>
        <w:spacing w:line="53" w:lineRule="auto"/>
        <w:rPr>
          <w:rFonts w:ascii="Arial"/>
          <w:sz w:val="2"/>
        </w:rPr>
      </w:pPr>
    </w:p>
    <w:tbl>
      <w:tblPr>
        <w:tblStyle w:val="14"/>
        <w:tblW w:w="989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1573"/>
        <w:gridCol w:w="2409"/>
        <w:gridCol w:w="3139"/>
        <w:gridCol w:w="2058"/>
      </w:tblGrid>
      <w:tr w14:paraId="24C4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7800147E">
            <w:pPr>
              <w:spacing w:line="240" w:lineRule="auto"/>
              <w:jc w:val="center"/>
              <w:rPr>
                <w:rFonts w:ascii="楷体" w:hAnsi="楷体" w:eastAsia="楷体" w:cs="楷体"/>
                <w:b/>
                <w:bCs/>
                <w:color w:val="auto"/>
                <w:spacing w:val="-2"/>
                <w:kern w:val="0"/>
                <w:sz w:val="20"/>
                <w:szCs w:val="20"/>
                <w:highlight w:val="none"/>
                <w:lang w:val="en-US" w:eastAsia="zh-CN"/>
              </w:rPr>
            </w:pPr>
            <w:r>
              <w:rPr>
                <w:rFonts w:ascii="楷体" w:hAnsi="楷体" w:eastAsia="楷体" w:cs="楷体"/>
                <w:b/>
                <w:bCs/>
                <w:color w:val="auto"/>
                <w:spacing w:val="-2"/>
                <w:kern w:val="0"/>
                <w:sz w:val="20"/>
                <w:szCs w:val="20"/>
                <w:highlight w:val="none"/>
                <w:lang w:val="en-US" w:eastAsia="zh-CN"/>
              </w:rPr>
              <w:t>序号</w:t>
            </w:r>
          </w:p>
        </w:tc>
        <w:tc>
          <w:tcPr>
            <w:tcW w:w="1573" w:type="dxa"/>
            <w:vAlign w:val="center"/>
          </w:tcPr>
          <w:p w14:paraId="2D536456">
            <w:pPr>
              <w:spacing w:line="240" w:lineRule="auto"/>
              <w:jc w:val="center"/>
              <w:rPr>
                <w:rFonts w:ascii="楷体" w:hAnsi="楷体" w:eastAsia="楷体" w:cs="楷体"/>
                <w:b/>
                <w:bCs/>
                <w:color w:val="auto"/>
                <w:spacing w:val="-2"/>
                <w:kern w:val="0"/>
                <w:sz w:val="20"/>
                <w:szCs w:val="20"/>
                <w:highlight w:val="none"/>
                <w:lang w:val="en-US" w:eastAsia="zh-CN"/>
              </w:rPr>
            </w:pPr>
            <w:r>
              <w:rPr>
                <w:rFonts w:ascii="楷体" w:hAnsi="楷体" w:eastAsia="楷体" w:cs="楷体"/>
                <w:b/>
                <w:bCs/>
                <w:color w:val="auto"/>
                <w:spacing w:val="-2"/>
                <w:kern w:val="0"/>
                <w:sz w:val="20"/>
                <w:szCs w:val="20"/>
                <w:highlight w:val="none"/>
                <w:lang w:val="en-US" w:eastAsia="zh-CN"/>
              </w:rPr>
              <w:t>就业岗位</w:t>
            </w:r>
          </w:p>
        </w:tc>
        <w:tc>
          <w:tcPr>
            <w:tcW w:w="2409" w:type="dxa"/>
            <w:vAlign w:val="center"/>
          </w:tcPr>
          <w:p w14:paraId="338256BA">
            <w:pPr>
              <w:spacing w:line="240" w:lineRule="auto"/>
              <w:jc w:val="center"/>
              <w:rPr>
                <w:rFonts w:ascii="楷体" w:hAnsi="楷体" w:eastAsia="楷体" w:cs="楷体"/>
                <w:b/>
                <w:bCs/>
                <w:color w:val="auto"/>
                <w:spacing w:val="-2"/>
                <w:kern w:val="0"/>
                <w:sz w:val="20"/>
                <w:szCs w:val="20"/>
                <w:highlight w:val="none"/>
                <w:lang w:val="en-US" w:eastAsia="zh-CN"/>
              </w:rPr>
            </w:pPr>
            <w:r>
              <w:rPr>
                <w:rFonts w:ascii="楷体" w:hAnsi="楷体" w:eastAsia="楷体" w:cs="楷体"/>
                <w:b/>
                <w:bCs/>
                <w:color w:val="auto"/>
                <w:spacing w:val="-2"/>
                <w:kern w:val="0"/>
                <w:sz w:val="20"/>
                <w:szCs w:val="20"/>
                <w:highlight w:val="none"/>
                <w:lang w:val="en-US" w:eastAsia="zh-CN"/>
              </w:rPr>
              <w:t>岗位描述</w:t>
            </w:r>
          </w:p>
        </w:tc>
        <w:tc>
          <w:tcPr>
            <w:tcW w:w="3139" w:type="dxa"/>
            <w:vAlign w:val="center"/>
          </w:tcPr>
          <w:p w14:paraId="103FE7F0">
            <w:pPr>
              <w:spacing w:line="240" w:lineRule="auto"/>
              <w:jc w:val="center"/>
              <w:rPr>
                <w:rFonts w:ascii="楷体" w:hAnsi="楷体" w:eastAsia="楷体" w:cs="楷体"/>
                <w:b/>
                <w:bCs/>
                <w:color w:val="auto"/>
                <w:spacing w:val="-2"/>
                <w:kern w:val="0"/>
                <w:sz w:val="20"/>
                <w:szCs w:val="20"/>
                <w:highlight w:val="none"/>
                <w:lang w:val="en-US" w:eastAsia="zh-CN"/>
              </w:rPr>
            </w:pPr>
            <w:r>
              <w:rPr>
                <w:rFonts w:ascii="楷体" w:hAnsi="楷体" w:eastAsia="楷体" w:cs="楷体"/>
                <w:b/>
                <w:bCs/>
                <w:color w:val="auto"/>
                <w:spacing w:val="-2"/>
                <w:kern w:val="0"/>
                <w:sz w:val="20"/>
                <w:szCs w:val="20"/>
                <w:highlight w:val="none"/>
                <w:lang w:val="en-US" w:eastAsia="zh-CN"/>
              </w:rPr>
              <w:t>职业能力</w:t>
            </w:r>
          </w:p>
        </w:tc>
        <w:tc>
          <w:tcPr>
            <w:tcW w:w="2058" w:type="dxa"/>
            <w:vAlign w:val="center"/>
          </w:tcPr>
          <w:p w14:paraId="54143515">
            <w:pPr>
              <w:spacing w:line="240" w:lineRule="auto"/>
              <w:jc w:val="center"/>
              <w:rPr>
                <w:rFonts w:ascii="楷体" w:hAnsi="楷体" w:eastAsia="楷体" w:cs="楷体"/>
                <w:b/>
                <w:bCs/>
                <w:color w:val="auto"/>
                <w:spacing w:val="-2"/>
                <w:kern w:val="0"/>
                <w:sz w:val="20"/>
                <w:szCs w:val="20"/>
                <w:highlight w:val="none"/>
                <w:lang w:val="en-US" w:eastAsia="zh-CN"/>
              </w:rPr>
            </w:pPr>
            <w:r>
              <w:rPr>
                <w:rFonts w:ascii="楷体" w:hAnsi="楷体" w:eastAsia="楷体" w:cs="楷体"/>
                <w:b/>
                <w:bCs/>
                <w:color w:val="auto"/>
                <w:spacing w:val="-2"/>
                <w:kern w:val="0"/>
                <w:sz w:val="20"/>
                <w:szCs w:val="20"/>
                <w:highlight w:val="none"/>
                <w:lang w:val="en-US" w:eastAsia="zh-CN"/>
              </w:rPr>
              <w:t>职/执业资格</w:t>
            </w:r>
          </w:p>
        </w:tc>
      </w:tr>
      <w:tr w14:paraId="63D2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714" w:type="dxa"/>
            <w:vAlign w:val="top"/>
          </w:tcPr>
          <w:p w14:paraId="394A6BD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w:t>
            </w:r>
          </w:p>
        </w:tc>
        <w:tc>
          <w:tcPr>
            <w:tcW w:w="1573" w:type="dxa"/>
            <w:vAlign w:val="top"/>
          </w:tcPr>
          <w:p w14:paraId="641F780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医疗岗位</w:t>
            </w:r>
          </w:p>
        </w:tc>
        <w:tc>
          <w:tcPr>
            <w:tcW w:w="2409" w:type="dxa"/>
            <w:vAlign w:val="top"/>
          </w:tcPr>
          <w:p w14:paraId="0EAEE22E">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社区卫生服务中心、乡镇卫生院等基层医疗机构从事保健、诊断、治疗、康复的服务工作</w:t>
            </w:r>
          </w:p>
        </w:tc>
        <w:tc>
          <w:tcPr>
            <w:tcW w:w="3139" w:type="dxa"/>
            <w:vAlign w:val="top"/>
          </w:tcPr>
          <w:p w14:paraId="56F6E2E8">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1.具有临床基本诊疗技术操作能力</w:t>
            </w:r>
          </w:p>
          <w:p w14:paraId="40DDD766">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2.具有使用常用药物合理治疗的能力</w:t>
            </w:r>
          </w:p>
          <w:p w14:paraId="0335FE7D">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3.具有对基层常见病、多发病、慢性病、传染病的诊断、防治能力</w:t>
            </w:r>
          </w:p>
          <w:p w14:paraId="0C4A5312">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4.具有对常见突发急危重症进行初步判断、处理和正确转诊的能力</w:t>
            </w:r>
          </w:p>
          <w:p w14:paraId="1018081A">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5.具有对辖区特殊人群（儿童、孕产妇、老人、残疾人、精神障碍患者等）的保健与康复指导能力</w:t>
            </w:r>
          </w:p>
        </w:tc>
        <w:tc>
          <w:tcPr>
            <w:tcW w:w="2058" w:type="dxa"/>
            <w:vAlign w:val="top"/>
          </w:tcPr>
          <w:p w14:paraId="75D826F6">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p w14:paraId="7B4ED28E">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全科医师资格</w:t>
            </w:r>
          </w:p>
        </w:tc>
      </w:tr>
      <w:tr w14:paraId="0C98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714" w:type="dxa"/>
            <w:vAlign w:val="center"/>
          </w:tcPr>
          <w:p w14:paraId="37F60DB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w:t>
            </w:r>
          </w:p>
        </w:tc>
        <w:tc>
          <w:tcPr>
            <w:tcW w:w="1573" w:type="dxa"/>
            <w:vAlign w:val="center"/>
          </w:tcPr>
          <w:p w14:paraId="4CF2E663">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公共卫生</w:t>
            </w:r>
          </w:p>
          <w:p w14:paraId="50B12B67">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岗位</w:t>
            </w:r>
          </w:p>
        </w:tc>
        <w:tc>
          <w:tcPr>
            <w:tcW w:w="2409" w:type="dxa"/>
            <w:vAlign w:val="center"/>
          </w:tcPr>
          <w:p w14:paraId="3133856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在社区卫生服务中心、乡镇卫生院等基层医疗机构从事疾病的预防、健康档案管理、慢性非传染性疾病分类管理、健康教育等工作</w:t>
            </w:r>
          </w:p>
        </w:tc>
        <w:tc>
          <w:tcPr>
            <w:tcW w:w="3139" w:type="dxa"/>
            <w:vAlign w:val="center"/>
          </w:tcPr>
          <w:p w14:paraId="33F27856">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1.具有一定的计算机应用能力</w:t>
            </w:r>
          </w:p>
          <w:p w14:paraId="2B2CDDCC">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2.具有一定的档案管理能力</w:t>
            </w:r>
          </w:p>
          <w:p w14:paraId="757B237A">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3.具有向城乡居民提供健康教育宣传和咨询服务的能力</w:t>
            </w:r>
          </w:p>
          <w:p w14:paraId="754B075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4.具有对重性精神障碍患者健康管理的能力</w:t>
            </w:r>
          </w:p>
          <w:p w14:paraId="55D18DC2">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5.具有开展儿童预防接种、传染病报告与处理、卫生监督协管能力</w:t>
            </w:r>
          </w:p>
        </w:tc>
        <w:tc>
          <w:tcPr>
            <w:tcW w:w="2058" w:type="dxa"/>
            <w:vAlign w:val="center"/>
          </w:tcPr>
          <w:p w14:paraId="72A9E80A">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p w14:paraId="6542F531">
            <w:pPr>
              <w:pStyle w:val="15"/>
              <w:spacing w:line="240" w:lineRule="auto"/>
              <w:jc w:val="left"/>
              <w:rPr>
                <w:rFonts w:hint="eastAsia" w:ascii="仿宋" w:hAnsi="仿宋" w:eastAsia="仿宋" w:cs="仿宋"/>
                <w:b w:val="0"/>
                <w:color w:val="auto"/>
                <w:kern w:val="0"/>
                <w:sz w:val="18"/>
                <w:szCs w:val="18"/>
                <w:highlight w:val="none"/>
                <w:lang w:val="en-US" w:eastAsia="zh-CN"/>
              </w:rPr>
            </w:pPr>
          </w:p>
        </w:tc>
      </w:tr>
      <w:tr w14:paraId="6EC6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20EEF97F">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w:t>
            </w:r>
          </w:p>
        </w:tc>
        <w:tc>
          <w:tcPr>
            <w:tcW w:w="1573" w:type="dxa"/>
            <w:vAlign w:val="center"/>
          </w:tcPr>
          <w:p w14:paraId="1AB419C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医药岗位</w:t>
            </w:r>
          </w:p>
        </w:tc>
        <w:tc>
          <w:tcPr>
            <w:tcW w:w="2409" w:type="dxa"/>
            <w:vAlign w:val="center"/>
          </w:tcPr>
          <w:p w14:paraId="302702F1">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在药店从事咨询医师、销售或管理等工作</w:t>
            </w:r>
          </w:p>
        </w:tc>
        <w:tc>
          <w:tcPr>
            <w:tcW w:w="3139" w:type="dxa"/>
            <w:vAlign w:val="center"/>
          </w:tcPr>
          <w:p w14:paraId="6D3D3CCE">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1.具有对常见病、多发病、慢性病等的诊断、防治能力</w:t>
            </w:r>
          </w:p>
          <w:p w14:paraId="779FD70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2.具有使用常用药物合理治疗的能力</w:t>
            </w:r>
          </w:p>
          <w:p w14:paraId="2204562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3.一定的计算机应用能力</w:t>
            </w:r>
          </w:p>
          <w:p w14:paraId="05F30DAC">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4.具有一定的管理能力</w:t>
            </w:r>
          </w:p>
        </w:tc>
        <w:tc>
          <w:tcPr>
            <w:tcW w:w="2058" w:type="dxa"/>
            <w:vAlign w:val="center"/>
          </w:tcPr>
          <w:p w14:paraId="51B1B03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p w14:paraId="74A94096">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助理药师资格</w:t>
            </w:r>
          </w:p>
        </w:tc>
      </w:tr>
      <w:tr w14:paraId="7F23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62E98768">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w:t>
            </w:r>
          </w:p>
        </w:tc>
        <w:tc>
          <w:tcPr>
            <w:tcW w:w="1573" w:type="dxa"/>
            <w:vAlign w:val="center"/>
          </w:tcPr>
          <w:p w14:paraId="6718E85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医疗器械岗位</w:t>
            </w:r>
          </w:p>
        </w:tc>
        <w:tc>
          <w:tcPr>
            <w:tcW w:w="2409" w:type="dxa"/>
            <w:vAlign w:val="center"/>
          </w:tcPr>
          <w:p w14:paraId="3C98E30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在医疗器械公司从事产品研发、销售、质量检验岗位、注册与质量管理岗位等工作</w:t>
            </w:r>
          </w:p>
        </w:tc>
        <w:tc>
          <w:tcPr>
            <w:tcW w:w="3139" w:type="dxa"/>
            <w:vAlign w:val="center"/>
          </w:tcPr>
          <w:p w14:paraId="6A73D48B">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1.具备良好的心理素质、沟通能力与组织协调能力</w:t>
            </w:r>
          </w:p>
          <w:p w14:paraId="4E2CC18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2.熟悉相关的医疗器械法律知识</w:t>
            </w:r>
          </w:p>
          <w:p w14:paraId="36868171">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3.熟悉产品开发流程，具备相关的理论知识</w:t>
            </w:r>
          </w:p>
          <w:p w14:paraId="11318A7C">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4.具备质量控制、档案管理的能力</w:t>
            </w:r>
          </w:p>
          <w:p w14:paraId="268C9735">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5.具备一定的计算机能力</w:t>
            </w:r>
          </w:p>
          <w:p w14:paraId="76B5FFB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6.具有开展医疗器械领域市场调查、市场策划及市场开发的能力；能够组织实施医疗器械的产品介绍推销和商业谈判</w:t>
            </w:r>
          </w:p>
        </w:tc>
        <w:tc>
          <w:tcPr>
            <w:tcW w:w="2058" w:type="dxa"/>
            <w:vAlign w:val="center"/>
          </w:tcPr>
          <w:p w14:paraId="24BFF652">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p w14:paraId="59F2D89D">
            <w:pPr>
              <w:pStyle w:val="15"/>
              <w:spacing w:line="240" w:lineRule="auto"/>
              <w:jc w:val="left"/>
              <w:rPr>
                <w:rFonts w:hint="eastAsia" w:ascii="仿宋" w:hAnsi="仿宋" w:eastAsia="仿宋" w:cs="仿宋"/>
                <w:b w:val="0"/>
                <w:color w:val="auto"/>
                <w:kern w:val="0"/>
                <w:sz w:val="18"/>
                <w:szCs w:val="18"/>
                <w:highlight w:val="none"/>
                <w:lang w:val="en-US" w:eastAsia="zh-CN"/>
              </w:rPr>
            </w:pPr>
          </w:p>
        </w:tc>
      </w:tr>
      <w:tr w14:paraId="6AD4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65611E8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5</w:t>
            </w:r>
          </w:p>
        </w:tc>
        <w:tc>
          <w:tcPr>
            <w:tcW w:w="1573" w:type="dxa"/>
            <w:vAlign w:val="center"/>
          </w:tcPr>
          <w:p w14:paraId="531ADE97">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校医岗位</w:t>
            </w:r>
          </w:p>
        </w:tc>
        <w:tc>
          <w:tcPr>
            <w:tcW w:w="2409" w:type="dxa"/>
            <w:vAlign w:val="center"/>
          </w:tcPr>
          <w:p w14:paraId="2FF83BE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在学校等机构从事疾病诊断、治疗及保健等工作</w:t>
            </w:r>
          </w:p>
        </w:tc>
        <w:tc>
          <w:tcPr>
            <w:tcW w:w="3139" w:type="dxa"/>
            <w:vAlign w:val="center"/>
          </w:tcPr>
          <w:p w14:paraId="737BF52A">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1.具有临床基本诊疗技术操作能力</w:t>
            </w:r>
          </w:p>
          <w:p w14:paraId="29D105A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2.具有使用常用药物合理治疗的能力</w:t>
            </w:r>
          </w:p>
          <w:p w14:paraId="7F9CB5CC">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3.具有对常见病、多发病、慢性病、传染病的诊断、防治能力</w:t>
            </w:r>
          </w:p>
          <w:p w14:paraId="5E47E77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4.具有对常见突发急危重症进行初步判断、处理和正确转诊的能力</w:t>
            </w:r>
          </w:p>
          <w:p w14:paraId="13B3A5D3">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5.具有对学校人群的保健指导能力</w:t>
            </w:r>
          </w:p>
        </w:tc>
        <w:tc>
          <w:tcPr>
            <w:tcW w:w="2058" w:type="dxa"/>
            <w:vAlign w:val="center"/>
          </w:tcPr>
          <w:p w14:paraId="4607EC0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tc>
      </w:tr>
      <w:tr w14:paraId="1F0F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36E5191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6</w:t>
            </w:r>
          </w:p>
        </w:tc>
        <w:tc>
          <w:tcPr>
            <w:tcW w:w="1573" w:type="dxa"/>
            <w:vAlign w:val="center"/>
          </w:tcPr>
          <w:p w14:paraId="371137CC">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科研岗位</w:t>
            </w:r>
          </w:p>
        </w:tc>
        <w:tc>
          <w:tcPr>
            <w:tcW w:w="2409" w:type="dxa"/>
            <w:vAlign w:val="center"/>
          </w:tcPr>
          <w:p w14:paraId="15E5DF33">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在科研单位及相关单位从事辅助科研工作</w:t>
            </w:r>
          </w:p>
        </w:tc>
        <w:tc>
          <w:tcPr>
            <w:tcW w:w="3139" w:type="dxa"/>
            <w:vAlign w:val="center"/>
          </w:tcPr>
          <w:p w14:paraId="7C75C896">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1.具备扎实的专业理论知识</w:t>
            </w:r>
          </w:p>
          <w:p w14:paraId="12873DA1">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2.具备创新思维、良好的科研道德素质</w:t>
            </w:r>
          </w:p>
          <w:p w14:paraId="1D5B6721">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3.具备较强的实验技能和数据处理能力</w:t>
            </w:r>
          </w:p>
          <w:p w14:paraId="788C65E2">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4.具备良好的沟通和表达能力</w:t>
            </w:r>
          </w:p>
          <w:p w14:paraId="5069563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5.具备持续学习和自我提升的能力</w:t>
            </w:r>
          </w:p>
          <w:p w14:paraId="1B759332">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6.具备一定的计算机能力</w:t>
            </w:r>
          </w:p>
        </w:tc>
        <w:tc>
          <w:tcPr>
            <w:tcW w:w="2058" w:type="dxa"/>
            <w:vAlign w:val="center"/>
          </w:tcPr>
          <w:p w14:paraId="6B918C20">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tc>
      </w:tr>
      <w:tr w14:paraId="691E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1214CFDE">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7</w:t>
            </w:r>
          </w:p>
        </w:tc>
        <w:tc>
          <w:tcPr>
            <w:tcW w:w="1573" w:type="dxa"/>
            <w:vAlign w:val="center"/>
          </w:tcPr>
          <w:p w14:paraId="3FD8CB2B">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医助岗位</w:t>
            </w:r>
          </w:p>
        </w:tc>
        <w:tc>
          <w:tcPr>
            <w:tcW w:w="2409" w:type="dxa"/>
            <w:vAlign w:val="center"/>
          </w:tcPr>
          <w:p w14:paraId="3679F8B8">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在医疗机构协助医生为患者提供高质量医疗服务</w:t>
            </w:r>
          </w:p>
        </w:tc>
        <w:tc>
          <w:tcPr>
            <w:tcW w:w="3139" w:type="dxa"/>
            <w:vAlign w:val="center"/>
          </w:tcPr>
          <w:p w14:paraId="1464584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1.具备扎实的专业理论知识</w:t>
            </w:r>
          </w:p>
          <w:p w14:paraId="507DDF16">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熟练运用电子病历系统（如HIS、EMR软件）进行病历记录与信息管理；对医学影像处理软件（如PACS）、实验室信息管理系统（LIMS）具有基础操作能力，能协助医生处理相关资料与数据。可准确操作血压计、血糖仪等基础医疗检测设备。​</w:t>
            </w:r>
          </w:p>
          <w:p w14:paraId="2740E959">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3.具备良好沟通表达能力，能清晰地向患者解释病情、医疗流程，耐心解答疑问，给予心理支持；与医生、护士及其他科室人员有效沟通，协同工作，保障医疗服务顺畅开展​</w:t>
            </w:r>
          </w:p>
          <w:p w14:paraId="24C26A6A">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4.在医疗工作中，迅速识别患者突发问题或医疗流程中的阻碍，冷静分析并提出有效解决方案，确保医疗服务的连续性与质量，能在高压环境下保持冷静，妥善应对</w:t>
            </w:r>
          </w:p>
        </w:tc>
        <w:tc>
          <w:tcPr>
            <w:tcW w:w="2058" w:type="dxa"/>
            <w:vAlign w:val="center"/>
          </w:tcPr>
          <w:p w14:paraId="0CC8DE4E">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tc>
      </w:tr>
      <w:tr w14:paraId="1ADF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1D44B71C">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8</w:t>
            </w:r>
          </w:p>
        </w:tc>
        <w:tc>
          <w:tcPr>
            <w:tcW w:w="1573" w:type="dxa"/>
            <w:vAlign w:val="center"/>
          </w:tcPr>
          <w:p w14:paraId="6A095121">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其他服务</w:t>
            </w:r>
          </w:p>
          <w:p w14:paraId="56B4A558">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岗位</w:t>
            </w:r>
          </w:p>
        </w:tc>
        <w:tc>
          <w:tcPr>
            <w:tcW w:w="2409" w:type="dxa"/>
            <w:vAlign w:val="center"/>
          </w:tcPr>
          <w:p w14:paraId="66736305">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在社区卫生服务机构、体检和保健养生服务机构、健康保险与健康服务机构、商业健康服务-健康管理公司从事健康促进、疾病预防、危险因素干预、疾病康复指导等工作</w:t>
            </w:r>
          </w:p>
        </w:tc>
        <w:tc>
          <w:tcPr>
            <w:tcW w:w="3139" w:type="dxa"/>
            <w:vAlign w:val="center"/>
          </w:tcPr>
          <w:p w14:paraId="7C183CA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1.具有一定的观察和理解、表达、协调管理及终身学习能力</w:t>
            </w:r>
          </w:p>
          <w:p w14:paraId="60A3F2D4">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2.具有熟练运用现代信息技术的能力</w:t>
            </w:r>
          </w:p>
          <w:p w14:paraId="1B37E888">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3.具有健康宣教基本知识和技能，开展相应服务的能力</w:t>
            </w:r>
          </w:p>
          <w:p w14:paraId="3230F202">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4.具有健康促进、疾病预防、危险因素干预、疾病治疗与康复指导等健康管理的能力</w:t>
            </w:r>
          </w:p>
        </w:tc>
        <w:tc>
          <w:tcPr>
            <w:tcW w:w="2058" w:type="dxa"/>
            <w:vAlign w:val="center"/>
          </w:tcPr>
          <w:p w14:paraId="61D51047">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助理执业医师资格</w:t>
            </w:r>
          </w:p>
          <w:p w14:paraId="34243CCF">
            <w:pPr>
              <w:pStyle w:val="15"/>
              <w:spacing w:line="240" w:lineRule="auto"/>
              <w:jc w:val="left"/>
              <w:rPr>
                <w:rFonts w:hint="eastAsia" w:ascii="仿宋" w:hAnsi="仿宋" w:eastAsia="仿宋" w:cs="仿宋"/>
                <w:b w:val="0"/>
                <w:color w:val="auto"/>
                <w:kern w:val="0"/>
                <w:sz w:val="18"/>
                <w:szCs w:val="18"/>
                <w:highlight w:val="none"/>
                <w:lang w:val="en-US" w:eastAsia="zh-CN"/>
              </w:rPr>
            </w:pPr>
            <w:r>
              <w:rPr>
                <w:rFonts w:hint="eastAsia" w:ascii="仿宋" w:hAnsi="仿宋" w:eastAsia="仿宋" w:cs="仿宋"/>
                <w:b w:val="0"/>
                <w:color w:val="auto"/>
                <w:kern w:val="0"/>
                <w:sz w:val="18"/>
                <w:szCs w:val="18"/>
                <w:highlight w:val="none"/>
                <w:lang w:val="en-US" w:eastAsia="zh-CN"/>
              </w:rPr>
              <w:t>健康管理师</w:t>
            </w:r>
          </w:p>
        </w:tc>
      </w:tr>
    </w:tbl>
    <w:p w14:paraId="28F17284">
      <w:pPr>
        <w:pStyle w:val="15"/>
        <w:spacing w:line="240" w:lineRule="auto"/>
        <w:jc w:val="left"/>
        <w:rPr>
          <w:rFonts w:hint="eastAsia" w:ascii="仿宋" w:hAnsi="仿宋" w:eastAsia="仿宋" w:cs="仿宋"/>
          <w:b w:val="0"/>
          <w:color w:val="auto"/>
          <w:kern w:val="0"/>
          <w:sz w:val="18"/>
          <w:szCs w:val="18"/>
          <w:highlight w:val="none"/>
          <w:lang w:eastAsia="zh-CN"/>
        </w:rPr>
      </w:pPr>
    </w:p>
    <w:p w14:paraId="1004D80D">
      <w:pPr>
        <w:pStyle w:val="2"/>
        <w:pageBreakBefore w:val="0"/>
        <w:widowControl/>
        <w:kinsoku w:val="0"/>
        <w:wordWrap/>
        <w:overflowPunct/>
        <w:topLinePunct w:val="0"/>
        <w:autoSpaceDE w:val="0"/>
        <w:autoSpaceDN w:val="0"/>
        <w:bidi w:val="0"/>
        <w:adjustRightInd w:val="0"/>
        <w:snapToGrid w:val="0"/>
        <w:spacing w:line="240" w:lineRule="auto"/>
        <w:textAlignment w:val="baseline"/>
      </w:pPr>
      <w:bookmarkStart w:id="11" w:name="_Toc20525"/>
      <w:bookmarkStart w:id="12" w:name="_Toc26022"/>
      <w:r>
        <w:t>五、培养目标及培养规格</w:t>
      </w:r>
      <w:bookmarkEnd w:id="11"/>
      <w:bookmarkEnd w:id="12"/>
    </w:p>
    <w:p w14:paraId="7F799440">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13" w:name="_Toc21866"/>
      <w:bookmarkStart w:id="14" w:name="_Toc24171"/>
      <w:r>
        <w:t>（一）培养目标</w:t>
      </w:r>
      <w:bookmarkEnd w:id="13"/>
      <w:bookmarkEnd w:id="14"/>
    </w:p>
    <w:p w14:paraId="7DDC5AA6">
      <w:pPr>
        <w:pStyle w:val="5"/>
        <w:spacing w:before="177" w:line="318" w:lineRule="auto"/>
        <w:ind w:left="352" w:right="465" w:firstLine="630"/>
        <w:rPr>
          <w:rFonts w:hint="eastAsia"/>
          <w:b w:val="0"/>
          <w:bCs/>
          <w:spacing w:val="-1"/>
          <w:sz w:val="28"/>
          <w:szCs w:val="28"/>
          <w:lang w:eastAsia="zh-CN"/>
        </w:rPr>
      </w:pPr>
      <w:r>
        <w:rPr>
          <w:rFonts w:hint="eastAsia"/>
          <w:b w:val="0"/>
          <w:bCs/>
          <w:spacing w:val="-1"/>
          <w:sz w:val="28"/>
          <w:szCs w:val="28"/>
          <w:lang w:eastAsia="zh-CN"/>
        </w:rPr>
        <w:t>本专业坚持以习近平新时代中国特色社会主义思想、党的二十大精神为指导，全面贯彻党的教育方针，落实立德树人根本任务，坚持以学生为中心的理念，结合医学及其相关行业发展需求，大力开展实践教学改革，加强校医合作、校企合作，产教协同育人，把早临床、多临床、反复临床贯穿实践教学始终，将理论与实践有机结合，将学科专业技能竞赛、执业资格考核技能等内容融入日常实践教学中，增加实践教学比重，丰富实践教学方法和内容；旨在培养理想信念坚定，德、智、体、美、劳全面发展，具有良好的人文素养、职业道德、创新意识和科研素质，精益求精的工匠精神，较强的就业能力和可持续发展能力；具备扎实的临床医学专业基础理论、基本知识、基本技能和临床实践能力，毕业后能以所学知识与技能在基层医疗卫生单位及相关单位熟练进行疾病的预防、诊治、保健及健康教育等工作，成为高素质实用型医学技术技能型人才。</w:t>
      </w:r>
    </w:p>
    <w:p w14:paraId="098E83AD">
      <w:pPr>
        <w:pStyle w:val="5"/>
        <w:spacing w:before="177" w:line="318" w:lineRule="auto"/>
        <w:ind w:left="352" w:right="465" w:firstLine="630"/>
        <w:rPr>
          <w:rFonts w:hint="eastAsia"/>
          <w:b w:val="0"/>
          <w:bCs/>
          <w:spacing w:val="-1"/>
          <w:sz w:val="28"/>
          <w:szCs w:val="28"/>
          <w:lang w:eastAsia="zh-CN"/>
        </w:rPr>
      </w:pPr>
      <w:r>
        <w:rPr>
          <w:rFonts w:hint="eastAsia"/>
          <w:b w:val="0"/>
          <w:bCs/>
          <w:spacing w:val="-1"/>
          <w:sz w:val="28"/>
          <w:szCs w:val="28"/>
          <w:lang w:eastAsia="zh-CN"/>
        </w:rPr>
        <w:t>除以上培养目标外，三段进阶式人才培养者还需按照不同企业合作班完善产教协调育人的培养路径。合作班学生在企业完成企业课程，需掌握影像诊断、医学美容、医养结合或健康大数据方向专业技术，以所学知识与技能在基层医疗卫生单位、影像科、医养机构及健康科技企业等单位熟练进行疾病的预防、诊治、保健、影像诊断、医养服务及健康大数据分析等工作。</w:t>
      </w:r>
    </w:p>
    <w:p w14:paraId="527591C9">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15" w:name="_Toc16190"/>
      <w:bookmarkStart w:id="16" w:name="_Toc20186"/>
      <w:r>
        <w:t>（二）培养规格</w:t>
      </w:r>
      <w:bookmarkEnd w:id="15"/>
      <w:bookmarkEnd w:id="16"/>
    </w:p>
    <w:p w14:paraId="67F20192">
      <w:pPr>
        <w:pStyle w:val="5"/>
        <w:spacing w:before="177" w:line="318" w:lineRule="auto"/>
        <w:ind w:left="352" w:right="465" w:firstLine="630"/>
        <w:rPr>
          <w:rFonts w:hint="eastAsia"/>
          <w:b w:val="0"/>
          <w:bCs/>
          <w:spacing w:val="-1"/>
          <w:sz w:val="28"/>
          <w:szCs w:val="28"/>
        </w:rPr>
      </w:pPr>
      <w:r>
        <w:rPr>
          <w:rFonts w:hint="eastAsia"/>
          <w:b w:val="0"/>
          <w:bCs/>
          <w:spacing w:val="-1"/>
          <w:sz w:val="28"/>
          <w:szCs w:val="28"/>
        </w:rPr>
        <w:t>本专业学生应在系统学习本专业知识并完成有关实习实训基础上，全面提升知识、能力、素质，掌握并实际运用岗位（群）需要的专业核心技术技能，实现德智体美劳全面发展，总体上须达到以下要求：</w:t>
      </w:r>
    </w:p>
    <w:p w14:paraId="62C02CA4">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338C5B33">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2）掌握与本专业对应职业活动相关的国家法律、行业规定，掌握环境保护、安全防护、质量管理等相关知识与技能，了解相关行业文化，具有爱岗敬业的职业精神，遵守职业道德准则和行为规范，具备社会责任感和担当精神；</w:t>
      </w:r>
    </w:p>
    <w:p w14:paraId="761D9988">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3</w:t>
      </w:r>
      <w:r>
        <w:rPr>
          <w:rFonts w:hint="eastAsia"/>
          <w:b w:val="0"/>
          <w:bCs/>
          <w:spacing w:val="-1"/>
          <w:sz w:val="28"/>
          <w:szCs w:val="28"/>
          <w:lang w:val="en-US" w:eastAsia="zh-CN"/>
        </w:rPr>
        <w:t>）掌握支撑本专业学习和可持续发展必备的语文、数学、外语（英语等）、信息技术等 文化基础知识，具有良好的人文素养与科学素养，具备职业生涯规划能力；</w:t>
      </w:r>
    </w:p>
    <w:p w14:paraId="4E727C36">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4</w:t>
      </w:r>
      <w:r>
        <w:rPr>
          <w:rFonts w:hint="eastAsia"/>
          <w:b w:val="0"/>
          <w:bCs/>
          <w:spacing w:val="-1"/>
          <w:sz w:val="28"/>
          <w:szCs w:val="28"/>
          <w:lang w:val="en-US" w:eastAsia="zh-CN"/>
        </w:rPr>
        <w:t>）具有良好的语言表达能力、文字表达能力、沟通合作能力，具有较强的集体意识和团队合作意识，学习</w:t>
      </w:r>
      <w:r>
        <w:rPr>
          <w:rFonts w:hint="default"/>
          <w:b w:val="0"/>
          <w:bCs/>
          <w:spacing w:val="-1"/>
          <w:sz w:val="28"/>
          <w:szCs w:val="28"/>
          <w:lang w:val="en-US" w:eastAsia="zh-CN"/>
        </w:rPr>
        <w:t>1</w:t>
      </w:r>
      <w:r>
        <w:rPr>
          <w:rFonts w:hint="eastAsia"/>
          <w:b w:val="0"/>
          <w:bCs/>
          <w:spacing w:val="-1"/>
          <w:sz w:val="28"/>
          <w:szCs w:val="28"/>
          <w:lang w:val="en-US" w:eastAsia="zh-CN"/>
        </w:rPr>
        <w:t>门外语并结合本专业加以运用；</w:t>
      </w:r>
    </w:p>
    <w:p w14:paraId="227F3E2C">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5</w:t>
      </w:r>
      <w:r>
        <w:rPr>
          <w:rFonts w:hint="eastAsia"/>
          <w:b w:val="0"/>
          <w:bCs/>
          <w:spacing w:val="-1"/>
          <w:sz w:val="28"/>
          <w:szCs w:val="28"/>
          <w:lang w:val="en-US" w:eastAsia="zh-CN"/>
        </w:rPr>
        <w:t>）掌握</w:t>
      </w:r>
      <w:r>
        <w:rPr>
          <w:rFonts w:hint="eastAsia"/>
          <w:b w:val="0"/>
          <w:bCs/>
          <w:spacing w:val="6"/>
          <w:sz w:val="28"/>
          <w:szCs w:val="28"/>
          <w:lang w:val="en-US" w:eastAsia="zh-CN"/>
        </w:rPr>
        <w:t>临床医学</w:t>
      </w:r>
      <w:r>
        <w:rPr>
          <w:rFonts w:hint="eastAsia"/>
          <w:b w:val="0"/>
          <w:bCs/>
          <w:spacing w:val="-1"/>
          <w:sz w:val="28"/>
          <w:szCs w:val="28"/>
          <w:lang w:val="en-US" w:eastAsia="zh-CN"/>
        </w:rPr>
        <w:t>专业基本理论和基本知识，包括生命各阶段人体正常结构、功能及心理状态、临床各科常见病和多发病的发病原因、发病机制、临床表现、鉴别诊断及防治原则以及必备自然科学、生命科学、行为科学和社会科学的理论知识和研究方法；</w:t>
      </w:r>
    </w:p>
    <w:p w14:paraId="375AC1B6">
      <w:pPr>
        <w:pStyle w:val="5"/>
        <w:spacing w:before="177" w:line="318" w:lineRule="auto"/>
        <w:ind w:left="352" w:right="465" w:firstLine="630"/>
        <w:rPr>
          <w:rFonts w:hint="default"/>
          <w:b w:val="0"/>
          <w:bCs/>
          <w:spacing w:val="-1"/>
          <w:sz w:val="28"/>
          <w:szCs w:val="28"/>
          <w:lang w:val="en-US" w:eastAsia="zh-CN"/>
        </w:rPr>
      </w:pPr>
      <w:r>
        <w:rPr>
          <w:rFonts w:hint="eastAsia"/>
          <w:b w:val="0"/>
          <w:bCs/>
          <w:spacing w:val="-1"/>
          <w:sz w:val="28"/>
          <w:szCs w:val="28"/>
          <w:lang w:val="en-US" w:eastAsia="zh-CN"/>
        </w:rPr>
        <w:t>（6）掌握基本公共卫生服务规范及实践；</w:t>
      </w:r>
    </w:p>
    <w:p w14:paraId="24DE6EF6">
      <w:pPr>
        <w:pStyle w:val="5"/>
        <w:spacing w:before="177" w:line="318" w:lineRule="auto"/>
        <w:ind w:left="352" w:right="465" w:firstLine="630"/>
        <w:rPr>
          <w:rFonts w:hint="eastAsia"/>
          <w:b w:val="0"/>
          <w:bCs/>
          <w:color w:val="FF0000"/>
          <w:spacing w:val="-1"/>
          <w:sz w:val="28"/>
          <w:szCs w:val="28"/>
          <w:lang w:val="en-US" w:eastAsia="zh-CN"/>
        </w:rPr>
      </w:pPr>
      <w:r>
        <w:rPr>
          <w:rFonts w:hint="eastAsia"/>
          <w:b w:val="0"/>
          <w:bCs/>
          <w:spacing w:val="-1"/>
          <w:sz w:val="28"/>
          <w:szCs w:val="28"/>
          <w:lang w:val="en-US" w:eastAsia="zh-CN"/>
        </w:rPr>
        <w:t>（7）熟悉专业相关的法律法规以及环境保护、安全消防等相关知识、全科医学基本知识与服务模式及临床诊疗策略；</w:t>
      </w:r>
    </w:p>
    <w:p w14:paraId="27F01530">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8）具有规范采集病史、进行体格检查、书写病历的能力，能够根据病人的病史、体格检查结果，对基层常见病、多发病进行诊治与预防的能力，能够根据病人具体情况制定适宜、经济的诊疗方案，具备与病人及病人家属解释诊疗方案合理性的能力；</w:t>
      </w:r>
    </w:p>
    <w:p w14:paraId="2577B2A4">
      <w:pPr>
        <w:pStyle w:val="5"/>
        <w:spacing w:before="177" w:line="318" w:lineRule="auto"/>
        <w:ind w:left="352" w:right="465" w:firstLine="630"/>
        <w:rPr>
          <w:rFonts w:hint="default"/>
          <w:b w:val="0"/>
          <w:bCs/>
          <w:spacing w:val="-1"/>
          <w:sz w:val="28"/>
          <w:szCs w:val="28"/>
          <w:lang w:val="en-US" w:eastAsia="zh-CN"/>
        </w:rPr>
      </w:pPr>
      <w:r>
        <w:rPr>
          <w:rFonts w:hint="eastAsia"/>
          <w:b w:val="0"/>
          <w:bCs/>
          <w:spacing w:val="-1"/>
          <w:sz w:val="28"/>
          <w:szCs w:val="28"/>
          <w:lang w:val="en-US" w:eastAsia="zh-CN"/>
        </w:rPr>
        <w:t>（9）具有基本临床诊疗技术操作能力、合理使用临床常用药物能力、实施基本公共卫生服务能力、具有开展卫生适宜技术服务能力；</w:t>
      </w:r>
    </w:p>
    <w:p w14:paraId="01014050">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（10）具有与患者、患者家属、医生和其他医疗卫生从业人员进行有效沟通的能力；</w:t>
      </w:r>
    </w:p>
    <w:p w14:paraId="6A68EC3A">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（11）掌握信息技术基础知识，具有适应本领域数字化和智能化发展需求的数字技能；</w:t>
      </w:r>
    </w:p>
    <w:p w14:paraId="3079B546">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1</w:t>
      </w:r>
      <w:r>
        <w:rPr>
          <w:rFonts w:hint="eastAsia"/>
          <w:b w:val="0"/>
          <w:bCs/>
          <w:spacing w:val="-1"/>
          <w:sz w:val="28"/>
          <w:szCs w:val="28"/>
          <w:lang w:val="en-US" w:eastAsia="zh-CN"/>
        </w:rPr>
        <w:t>2）具有探究学习、终身学习和可持续发展的能力，具有整合知识和综合运用知识分析问题和解决问题的能力；</w:t>
      </w:r>
    </w:p>
    <w:p w14:paraId="023CAF7C">
      <w:pPr>
        <w:pStyle w:val="5"/>
        <w:spacing w:before="177" w:line="318" w:lineRule="auto"/>
        <w:ind w:left="352" w:right="465" w:firstLine="630"/>
        <w:rPr>
          <w:rFonts w:hint="eastAsia"/>
          <w:b w:val="0"/>
          <w:bCs/>
          <w:spacing w:val="-1"/>
          <w:sz w:val="28"/>
          <w:szCs w:val="28"/>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1</w:t>
      </w:r>
      <w:r>
        <w:rPr>
          <w:rFonts w:hint="eastAsia"/>
          <w:b w:val="0"/>
          <w:bCs/>
          <w:spacing w:val="-1"/>
          <w:sz w:val="28"/>
          <w:szCs w:val="28"/>
          <w:lang w:val="en-US" w:eastAsia="zh-CN"/>
        </w:rPr>
        <w:t>3）掌握身体运动的基本知识和至少</w:t>
      </w:r>
      <w:r>
        <w:rPr>
          <w:rFonts w:hint="default"/>
          <w:b w:val="0"/>
          <w:bCs/>
          <w:spacing w:val="-1"/>
          <w:sz w:val="28"/>
          <w:szCs w:val="28"/>
          <w:lang w:val="en-US" w:eastAsia="zh-CN"/>
        </w:rPr>
        <w:t>1</w:t>
      </w:r>
      <w:r>
        <w:rPr>
          <w:rFonts w:hint="eastAsia"/>
          <w:b w:val="0"/>
          <w:bCs/>
          <w:spacing w:val="-1"/>
          <w:sz w:val="28"/>
          <w:szCs w:val="28"/>
          <w:lang w:val="en-US" w:eastAsia="zh-CN"/>
        </w:rPr>
        <w:t>项体育运动技能，达到国家大学生体质健康测试合格标准，养成良好的运动习惯、卫生习惯和行为习惯；具备一定的心理调适能力；</w:t>
      </w:r>
    </w:p>
    <w:p w14:paraId="0A7CA70F">
      <w:pPr>
        <w:pStyle w:val="5"/>
        <w:spacing w:before="177" w:line="318" w:lineRule="auto"/>
        <w:ind w:left="352" w:right="465" w:firstLine="630"/>
        <w:rPr>
          <w:rFonts w:hint="default"/>
          <w:b w:val="0"/>
          <w:bCs/>
          <w:spacing w:val="-1"/>
          <w:sz w:val="28"/>
          <w:szCs w:val="28"/>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1</w:t>
      </w:r>
      <w:r>
        <w:rPr>
          <w:rFonts w:hint="eastAsia"/>
          <w:b w:val="0"/>
          <w:bCs/>
          <w:spacing w:val="-1"/>
          <w:sz w:val="28"/>
          <w:szCs w:val="28"/>
          <w:lang w:val="en-US" w:eastAsia="zh-CN"/>
        </w:rPr>
        <w:t>4）掌握必备的美育知识，具有一定的文化修养、审美能力，形成至少</w:t>
      </w:r>
      <w:r>
        <w:rPr>
          <w:rFonts w:hint="default"/>
          <w:b w:val="0"/>
          <w:bCs/>
          <w:spacing w:val="-1"/>
          <w:sz w:val="28"/>
          <w:szCs w:val="28"/>
          <w:lang w:val="en-US" w:eastAsia="zh-CN"/>
        </w:rPr>
        <w:t>1</w:t>
      </w:r>
      <w:r>
        <w:rPr>
          <w:rFonts w:hint="eastAsia"/>
          <w:b w:val="0"/>
          <w:bCs/>
          <w:spacing w:val="-1"/>
          <w:sz w:val="28"/>
          <w:szCs w:val="28"/>
          <w:lang w:val="en-US" w:eastAsia="zh-CN"/>
        </w:rPr>
        <w:t>项艺术特长或爱好；</w:t>
      </w:r>
    </w:p>
    <w:p w14:paraId="5FEFFD1B">
      <w:pPr>
        <w:pStyle w:val="5"/>
        <w:spacing w:before="177" w:line="318" w:lineRule="auto"/>
        <w:ind w:left="352" w:right="465" w:firstLine="630"/>
        <w:rPr>
          <w:rFonts w:hint="eastAsia"/>
          <w:spacing w:val="9"/>
          <w:lang w:val="en-US" w:eastAsia="zh-CN"/>
        </w:rPr>
      </w:pPr>
      <w:r>
        <w:rPr>
          <w:rFonts w:hint="eastAsia"/>
          <w:b w:val="0"/>
          <w:bCs/>
          <w:spacing w:val="-1"/>
          <w:sz w:val="28"/>
          <w:szCs w:val="28"/>
          <w:lang w:val="en-US" w:eastAsia="zh-CN"/>
        </w:rPr>
        <w:t>（</w:t>
      </w:r>
      <w:r>
        <w:rPr>
          <w:rFonts w:hint="default"/>
          <w:b w:val="0"/>
          <w:bCs/>
          <w:spacing w:val="-1"/>
          <w:sz w:val="28"/>
          <w:szCs w:val="28"/>
          <w:lang w:val="en-US" w:eastAsia="zh-CN"/>
        </w:rPr>
        <w:t>1</w:t>
      </w:r>
      <w:r>
        <w:rPr>
          <w:rFonts w:hint="eastAsia"/>
          <w:b w:val="0"/>
          <w:bCs/>
          <w:spacing w:val="-1"/>
          <w:sz w:val="28"/>
          <w:szCs w:val="28"/>
          <w:lang w:val="en-US" w:eastAsia="zh-CN"/>
        </w:rPr>
        <w:t>5）树立正确的劳动观，尊重劳动，热爱劳动，具备与本专业职业发展相适应的劳动素养，弘扬劳模精神、劳动精神、工匠精神，弘扬劳动光荣、技能宝贵、创造伟大的时代风尚。</w:t>
      </w:r>
    </w:p>
    <w:p w14:paraId="48EA7FD2">
      <w:pPr>
        <w:pStyle w:val="5"/>
        <w:spacing w:before="176" w:line="317" w:lineRule="auto"/>
        <w:ind w:left="130" w:right="24" w:firstLine="648"/>
        <w:rPr>
          <w:rFonts w:hint="default"/>
          <w:spacing w:val="9"/>
          <w:lang w:val="en-US" w:eastAsia="zh-CN"/>
        </w:rPr>
      </w:pPr>
      <w:r>
        <w:rPr>
          <w:rFonts w:hint="eastAsia"/>
          <w:b w:val="0"/>
          <w:bCs/>
          <w:spacing w:val="-1"/>
          <w:sz w:val="28"/>
          <w:szCs w:val="28"/>
          <w:lang w:val="en-US" w:eastAsia="zh-CN"/>
        </w:rPr>
        <w:t>除以上培养规格外，三段进阶式人才培养者还须具备影像诊断、医学美容仪器操作、老年健康管理或健康数据处理的专业技能。能运用专业技术解决影像诊断、医学美容、医养结合或健康大数据领域的实际问题。</w:t>
      </w:r>
    </w:p>
    <w:p w14:paraId="7FA5490A">
      <w:pPr>
        <w:pStyle w:val="2"/>
        <w:keepNext/>
        <w:keepLines/>
        <w:pageBreakBefore w:val="0"/>
        <w:widowControl/>
        <w:kinsoku w:val="0"/>
        <w:wordWrap/>
        <w:overflowPunct/>
        <w:topLinePunct w:val="0"/>
        <w:autoSpaceDE w:val="0"/>
        <w:autoSpaceDN w:val="0"/>
        <w:bidi w:val="0"/>
        <w:adjustRightInd w:val="0"/>
        <w:snapToGrid w:val="0"/>
        <w:spacing w:line="240" w:lineRule="auto"/>
        <w:textAlignment w:val="baseline"/>
      </w:pPr>
      <w:bookmarkStart w:id="17" w:name="_Toc26118"/>
      <w:bookmarkStart w:id="18" w:name="_Toc781"/>
      <w:r>
        <w:t>六、课程设置及要求</w:t>
      </w:r>
      <w:bookmarkEnd w:id="17"/>
      <w:bookmarkEnd w:id="18"/>
    </w:p>
    <w:p w14:paraId="4D8231C7">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19" w:name="_Toc15611"/>
      <w:bookmarkStart w:id="20" w:name="_Toc10746"/>
      <w:r>
        <w:t>（一）公共基础课程</w:t>
      </w:r>
      <w:bookmarkEnd w:id="19"/>
      <w:bookmarkEnd w:id="20"/>
    </w:p>
    <w:p w14:paraId="00A54221">
      <w:pPr>
        <w:spacing w:line="44" w:lineRule="auto"/>
        <w:rPr>
          <w:rFonts w:ascii="Arial"/>
          <w:sz w:val="2"/>
        </w:rPr>
      </w:pPr>
    </w:p>
    <w:tbl>
      <w:tblPr>
        <w:tblStyle w:val="14"/>
        <w:tblW w:w="97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2256"/>
        <w:gridCol w:w="2950"/>
        <w:gridCol w:w="2842"/>
      </w:tblGrid>
      <w:tr w14:paraId="00459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7AE236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264A76C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2256" w:type="dxa"/>
            <w:vAlign w:val="center"/>
          </w:tcPr>
          <w:p w14:paraId="299A131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950" w:type="dxa"/>
            <w:vAlign w:val="center"/>
          </w:tcPr>
          <w:p w14:paraId="70D96B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2842" w:type="dxa"/>
            <w:vAlign w:val="center"/>
          </w:tcPr>
          <w:p w14:paraId="2EB3AB7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06007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F920D9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w:t>
            </w:r>
          </w:p>
        </w:tc>
        <w:tc>
          <w:tcPr>
            <w:tcW w:w="1065" w:type="dxa"/>
            <w:vAlign w:val="center"/>
          </w:tcPr>
          <w:p w14:paraId="0AD986D0">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思想道德与法治</w:t>
            </w:r>
          </w:p>
        </w:tc>
        <w:tc>
          <w:tcPr>
            <w:tcW w:w="2256" w:type="dxa"/>
            <w:vAlign w:val="center"/>
          </w:tcPr>
          <w:p w14:paraId="1E6CC55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1.掌握马克思主义的世界观、人生观、价值观道德观、法治观，坚定理想信念，弘扬中国精神；</w:t>
            </w:r>
          </w:p>
          <w:p w14:paraId="63872A5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2.能运用马克思主义基本观点正确认识分析人生成长中的道德法治问题，培育和践行社会主义核心价值观，传承中华传统美德，提升思想道德素质和法治素养；</w:t>
            </w:r>
          </w:p>
          <w:p w14:paraId="2C27393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p>
        </w:tc>
        <w:tc>
          <w:tcPr>
            <w:tcW w:w="2950" w:type="dxa"/>
            <w:vAlign w:val="center"/>
          </w:tcPr>
          <w:p w14:paraId="593E3CD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针对大学生成长过程中面临的思想道德和法律问题，进行马克思主义的世界观、人生观、价值观、道德观、法治观教育，提高学生的思想道德素质和法治素养。内容包括成就担当民族复兴大任的时代新人；领悟人生真谛把握人生方向；追求远大理想坚定崇高信念；继承优良传统弘扬中国精神；明确价值要求践行价值准则；遵守道德规范锤炼道德品格；学习法治思想提升法治素养</w:t>
            </w:r>
          </w:p>
        </w:tc>
        <w:tc>
          <w:tcPr>
            <w:tcW w:w="2842" w:type="dxa"/>
            <w:vAlign w:val="center"/>
          </w:tcPr>
          <w:p w14:paraId="749B62B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落实立德树人根本任务为目的，将培育学生的学科核心素养贯穿于教学活动全过程。坚持正确育人导向，强化价值引领，科学制定教学目标，注重探讨式和体验性学习，加强社会实践活动。教学设计要紧密结合各章节教学目标和教学内容，有重难点地开展教学活动，教学方式要采用多媒体课堂教学与课外实践教学相结合。定期组织集体备课，准确把握教材基本精神，形成统一的参考教案</w:t>
            </w:r>
          </w:p>
        </w:tc>
      </w:tr>
      <w:tr w14:paraId="0D6DA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9AEA6F8">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w:t>
            </w:r>
          </w:p>
        </w:tc>
        <w:tc>
          <w:tcPr>
            <w:tcW w:w="1065" w:type="dxa"/>
            <w:vAlign w:val="center"/>
          </w:tcPr>
          <w:p w14:paraId="0F682A8A">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毛泽东思想和中国特色社会主义理论体系概论</w:t>
            </w:r>
          </w:p>
        </w:tc>
        <w:tc>
          <w:tcPr>
            <w:tcW w:w="2256" w:type="dxa"/>
            <w:vAlign w:val="center"/>
          </w:tcPr>
          <w:p w14:paraId="0923F9A7">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1.掌握中国化马克思主义理论形成的社会历史条件、科学内涵、精神实质和历史地位；</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2.能运用马克思主义的立场、观点和方法分析、解决问题，自觉坚定贯彻党的基本理论、基本路线、基本方略及各项方针政策，积极投身到全面建设社会主义现代化的伟大实践；</w:t>
            </w:r>
            <w:r>
              <w:rPr>
                <w:rFonts w:hint="eastAsia" w:ascii="仿宋" w:hAnsi="仿宋" w:eastAsia="仿宋" w:cs="仿宋"/>
                <w:b w:val="0"/>
                <w:snapToGrid w:val="0"/>
                <w:color w:val="auto"/>
                <w:kern w:val="0"/>
                <w:sz w:val="18"/>
                <w:szCs w:val="18"/>
                <w:highlight w:val="none"/>
                <w:lang w:val="en-US" w:eastAsia="zh-CN" w:bidi="ar-SA"/>
              </w:rPr>
              <w:br w:type="textWrapping"/>
            </w:r>
          </w:p>
        </w:tc>
        <w:tc>
          <w:tcPr>
            <w:tcW w:w="2950" w:type="dxa"/>
            <w:vAlign w:val="center"/>
          </w:tcPr>
          <w:p w14:paraId="510DD34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马克思主义中国化为主线，以马克思主义中国化的理论成果为重点，全面系统阐述毛泽东思想的形成、主要内容及历史地位；邓小平理论的形成、主要内容及历史地位，“三个代表”重要思想形成、主要内容及历史地位，科学发展观的形成、主要内容及历史地位</w:t>
            </w:r>
          </w:p>
        </w:tc>
        <w:tc>
          <w:tcPr>
            <w:tcW w:w="2842" w:type="dxa"/>
            <w:vAlign w:val="center"/>
          </w:tcPr>
          <w:p w14:paraId="4B4D95D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落实立德树人根本任务为目的，将培育学生的学科核心素养贯穿于教学活动全过程。坚持正确育人导向，强化价值引领，科学制定教学目标，注重探讨式和体验性学习，加强社会实践活动，注重运用新媒体新技术，提高教学效率。教学方式要采用多媒体课堂教学与课外实践教学相结合，定期组织集体备课。课堂教学环节主要采用理论教学、案例教学、课堂互动、多媒体教学等方式进行，让学生掌握教材基础知识和基本理论；</w:t>
            </w:r>
          </w:p>
        </w:tc>
      </w:tr>
      <w:tr w14:paraId="17862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5E0E17F5">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w:t>
            </w:r>
          </w:p>
        </w:tc>
        <w:tc>
          <w:tcPr>
            <w:tcW w:w="1065" w:type="dxa"/>
            <w:vAlign w:val="center"/>
          </w:tcPr>
          <w:p w14:paraId="43BDFB28">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习近平新时代中国特色社会主义思想概论</w:t>
            </w:r>
          </w:p>
        </w:tc>
        <w:tc>
          <w:tcPr>
            <w:tcW w:w="2256" w:type="dxa"/>
            <w:vAlign w:val="center"/>
          </w:tcPr>
          <w:p w14:paraId="68917019">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马克思主义中国化时代化的最新理论成果和形成的社会历史条件、科学内涵、精神实质和主要内容，深刻领会习近平新时代中国特色社会主义思想为“治党治国及全球治理”思想的重要历史地位，把握习近平新时代中国特色社会主义思想的世界观和方法论；</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2.能运用习近平新时代中国特色社会主义思想蕴含的世界观和方法论分析、解决实现社会主义现代化强国和中华民族伟大复兴实践中的问题；</w:t>
            </w:r>
            <w:r>
              <w:rPr>
                <w:rFonts w:hint="eastAsia" w:ascii="仿宋" w:hAnsi="仿宋" w:eastAsia="仿宋" w:cs="仿宋"/>
                <w:b w:val="0"/>
                <w:snapToGrid w:val="0"/>
                <w:color w:val="auto"/>
                <w:kern w:val="0"/>
                <w:sz w:val="18"/>
                <w:szCs w:val="18"/>
                <w:highlight w:val="none"/>
                <w:lang w:val="en-US" w:eastAsia="zh-CN" w:bidi="ar-SA"/>
              </w:rPr>
              <w:br w:type="textWrapping"/>
            </w:r>
          </w:p>
        </w:tc>
        <w:tc>
          <w:tcPr>
            <w:tcW w:w="2950" w:type="dxa"/>
            <w:vAlign w:val="center"/>
          </w:tcPr>
          <w:p w14:paraId="4FBE6E3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习近平新时代中国特色社会主义思想的创立及其历史地位；新时代坚持和发展中国特色社会主义，以中国式现代化全面推进中华民族伟大复兴，坚持党的全面领导，坚持以人为本，全面深化改革，推动高质量发展，社会主义现代化建设的教育、科技、人才战略，发展全过程人民民主，全面依法治国，建设社会主义文化强国，以保障和改善民生为重点加强社会建设，建设社会主义生态文明，维护和塑造国家安全，建设巩固国防和强大人民军队，坚持“一国两制”和推进祖国完全统一，中国特色大国外交和构建人类命运共同体，全面从严治党</w:t>
            </w:r>
          </w:p>
        </w:tc>
        <w:tc>
          <w:tcPr>
            <w:tcW w:w="2842" w:type="dxa"/>
            <w:vAlign w:val="center"/>
          </w:tcPr>
          <w:p w14:paraId="32C23FB6">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落实立德树人根本任务为目的，将培育学生的学科核心素养贯穿于教学活动全过程。要求思政课教师在课堂教学中始终坚持马克思主义立场观点方法，在政治立场、政治方向、政治原则、政治道路上同以习近平同志为核心的党中央保持高度一致。教学方式要采用多媒体课堂教学与课外实践教学相结合，定期组织集体备课。课堂教学环节主要采用理论教学、案例教学、课堂互动、多媒体教学等方式进行，让学生掌握教材基础知识和基本理论；实践课教学环节根据教学内容，选择在思政课实践教学基地教学或参观红色展馆、参加专题讲座等形式，以强化学生活学活用所学知识解决实际问题的能力</w:t>
            </w:r>
          </w:p>
        </w:tc>
      </w:tr>
      <w:tr w14:paraId="4DC83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220077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4</w:t>
            </w:r>
          </w:p>
        </w:tc>
        <w:tc>
          <w:tcPr>
            <w:tcW w:w="1065" w:type="dxa"/>
            <w:vAlign w:val="center"/>
          </w:tcPr>
          <w:p w14:paraId="67521C82">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形势与政策</w:t>
            </w:r>
          </w:p>
        </w:tc>
        <w:tc>
          <w:tcPr>
            <w:tcW w:w="2256" w:type="dxa"/>
            <w:vAlign w:val="center"/>
          </w:tcPr>
          <w:p w14:paraId="0274AB86">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1.全面正确认识党和国家面临的形势和任务，正确认识国情，理解党的路线方针政策；</w:t>
            </w:r>
          </w:p>
          <w:p w14:paraId="59D95F1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2.提高学生走向社会发展所需要思想、文化、职业等方面的综合素质；</w:t>
            </w:r>
          </w:p>
          <w:p w14:paraId="7C2DADE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3.引导大学生正确认识和分析当前国内外形势，统一思想，坚定信心和决心，培养正确的分辨能力和判断能力。</w:t>
            </w:r>
          </w:p>
        </w:tc>
        <w:tc>
          <w:tcPr>
            <w:tcW w:w="2950" w:type="dxa"/>
            <w:vAlign w:val="center"/>
          </w:tcPr>
          <w:p w14:paraId="5F4AE22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依据中宣部、教育部下发的“高校形势与政策教育教学要点”，结合当前国际国内形势，介绍当前国内外经济政治形势、国际关系以及国内外热点事件，阐明党的路线方针政策和我国政府的基本原则、基本立场与应对政策。</w:t>
            </w:r>
          </w:p>
        </w:tc>
        <w:tc>
          <w:tcPr>
            <w:tcW w:w="2842" w:type="dxa"/>
            <w:vAlign w:val="center"/>
          </w:tcPr>
          <w:p w14:paraId="4D62C49B">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落实立德树人根本任务为目的，将培育学生的学科核心素养贯穿于教学活动全过程。坚持正确育人导向，强化价值引领，科学制定教学目标，注重探讨式和体验性学习，加强社会实践活动，定期组织集体备课，准确把握教材基本精神，形成统一的参考教案，同时要注重运用新媒体新技术。教学方式要采用多媒体课堂教学与课外实践教学相结合。</w:t>
            </w:r>
          </w:p>
        </w:tc>
      </w:tr>
      <w:tr w14:paraId="3C3FC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58A71A3F">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5</w:t>
            </w:r>
          </w:p>
        </w:tc>
        <w:tc>
          <w:tcPr>
            <w:tcW w:w="1065" w:type="dxa"/>
            <w:vAlign w:val="center"/>
          </w:tcPr>
          <w:p w14:paraId="38C3452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国家安全教育</w:t>
            </w:r>
          </w:p>
        </w:tc>
        <w:tc>
          <w:tcPr>
            <w:tcW w:w="2256" w:type="dxa"/>
            <w:vAlign w:val="center"/>
          </w:tcPr>
          <w:p w14:paraId="3C0F5093">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1.具备从多维度分析国家安全案例的能力，能识别日常生活中可能涉及国家安全的隐患；</w:t>
            </w:r>
          </w:p>
          <w:p w14:paraId="546E492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2.树立“国家安全高于一切”的责任意识，强化国家认同感与民族凝聚力；</w:t>
            </w:r>
          </w:p>
          <w:p w14:paraId="34A20C13">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3.培养维护国家安全的法治观念与纪律意识，自觉抵制危害国家安全的言行；</w:t>
            </w:r>
          </w:p>
          <w:p w14:paraId="36A423A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4.形成“总体安全”思维模式，将个人发展与国家命运相结合，践行新时代公民的安全责任</w:t>
            </w:r>
          </w:p>
        </w:tc>
        <w:tc>
          <w:tcPr>
            <w:tcW w:w="2950" w:type="dxa"/>
            <w:vAlign w:val="center"/>
          </w:tcPr>
          <w:p w14:paraId="0299778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习近平总书记关于国家安全的重要论述；国家安全的历史演进与当代内涵；重点法律条文解读；典型案例分析（危害国家安全犯罪判例、公民维护国家安全案例）；文化传承与意识形态安全；公共安全事件应对；网络空间主权与关键信息基础设施保护；个人信息保护与数据跨境流动；日常生活安全隐患排查；校园安全实践；危害国家安全行为举报途径（12339）；模拟演练（反间谍、网络安全实训）</w:t>
            </w:r>
          </w:p>
        </w:tc>
        <w:tc>
          <w:tcPr>
            <w:tcW w:w="2842" w:type="dxa"/>
            <w:vAlign w:val="center"/>
          </w:tcPr>
          <w:p w14:paraId="1AC950D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将国家安全教育与爱国主义教育相结合，挖掘历史上的国家安全典型案例；结合专业特色拓展教学；采用“法条解析+时事案例”教学法，如分析“孟晚舟事件”中的经济安全逻辑；组织“国家安全辩论赛”实践教学；联合国家安全机关开展“国家安全体验日”，参观保密教育基地</w:t>
            </w:r>
          </w:p>
        </w:tc>
      </w:tr>
      <w:tr w14:paraId="2D5E5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AE0A66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6</w:t>
            </w:r>
          </w:p>
        </w:tc>
        <w:tc>
          <w:tcPr>
            <w:tcW w:w="1065" w:type="dxa"/>
            <w:vAlign w:val="center"/>
          </w:tcPr>
          <w:p w14:paraId="0300E185">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中华民族共同体概论</w:t>
            </w:r>
          </w:p>
        </w:tc>
        <w:tc>
          <w:tcPr>
            <w:tcW w:w="2256" w:type="dxa"/>
            <w:vAlign w:val="center"/>
          </w:tcPr>
          <w:p w14:paraId="5999B4A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1.增强“五个认同”，树立休戚与共、荣辱与共、生死与共、命运与共的共同体理念。</w:t>
            </w:r>
          </w:p>
          <w:p w14:paraId="6923971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2.培育家国情怀与文化自信，深刻理解中华文明的突出特性，自觉维护国家统一和民族团结。</w:t>
            </w:r>
          </w:p>
          <w:p w14:paraId="65E1EAB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3.激发历史使命感，将个人成长与中华民族伟大复兴结合，成为共同体建设的践行者与捍卫者。</w:t>
            </w:r>
          </w:p>
        </w:tc>
        <w:tc>
          <w:tcPr>
            <w:tcW w:w="2950" w:type="dxa"/>
            <w:vAlign w:val="center"/>
          </w:tcPr>
          <w:p w14:paraId="7549DDC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中华民族发展史；交往交流交融案例；通过考古实证、文献记载，展现各民族在政治、经济、文化等领域的互动；批判“碎片化”“去中国化”史观，树立“各民族共创中华”的整体认知；分析语言文字、传统节日、非遗传承等文化符号在凝聚共同体中的作用，强调“文化是最深层认同”；讲解《中华人民共和国民族区域自治法》《促进民族团结进步条例》等，结合乡村振兴、对口支援等案例说明政策实效；对比多民族国家治理模式，凸显中国特色解决民族问题道路的优越性</w:t>
            </w:r>
          </w:p>
        </w:tc>
        <w:tc>
          <w:tcPr>
            <w:tcW w:w="2842" w:type="dxa"/>
            <w:vAlign w:val="center"/>
          </w:tcPr>
          <w:p w14:paraId="516E2DD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教材《中华民族共同体概论》为核心，穿插历史影像、政策解读；利用国家民委“概论”资源中心平台，推送慕课视频、虚拟展馆等数字化资源，结合线下小组研讨、翻转课堂深化理解；通过“行走的课堂”“校友访谈”等形式，实现“小课堂”与“大社会”联动。组织学生走访博物馆、民族社区，撰写《家乡民族交往史调研报告》；开展“中华民族一家亲”文化体验</w:t>
            </w:r>
          </w:p>
          <w:p w14:paraId="6DFAD2E8">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p>
        </w:tc>
      </w:tr>
      <w:tr w14:paraId="45BCF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5612C33">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7</w:t>
            </w:r>
          </w:p>
        </w:tc>
        <w:tc>
          <w:tcPr>
            <w:tcW w:w="1065" w:type="dxa"/>
            <w:vAlign w:val="center"/>
          </w:tcPr>
          <w:p w14:paraId="4B3DCE2E">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大学语文</w:t>
            </w:r>
          </w:p>
        </w:tc>
        <w:tc>
          <w:tcPr>
            <w:tcW w:w="2256" w:type="dxa"/>
            <w:vAlign w:val="center"/>
          </w:tcPr>
          <w:p w14:paraId="1156FBF9">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1.构建宏观文学史体系，全面认知中华优秀文化，掌握语文常识及文学发展脉络</w:t>
            </w:r>
          </w:p>
          <w:p w14:paraId="703433B3">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2.强化听说读写及沟通、写作、鉴赏能力，养成良好阅读习惯，提升母语运用与审美鉴赏能力，能运用文学知识赏析作品、评价现象、抒发感悟</w:t>
            </w:r>
          </w:p>
          <w:p w14:paraId="4BB785F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3.树立正确三观，培育职业素养、创新思维与工匠精神，培养科学态度、职业情感与积极人生态度，弘扬民族精神与时代精神，增强文化自信</w:t>
            </w:r>
          </w:p>
        </w:tc>
        <w:tc>
          <w:tcPr>
            <w:tcW w:w="2950" w:type="dxa"/>
            <w:vAlign w:val="center"/>
          </w:tcPr>
          <w:p w14:paraId="0D2B95F6">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结合文学史的发展顺序，从各个阶段选取经典篇目进行赏析，包括古典文学、现当代文学、外国文学的文体特点、语法知识以及作家的生平经历、思想等。了解中国先进政治理念，以中国经典文学作品为载体，通过深入学习这些优秀文化的精华，对中国古代和现代文化传统进行了解和认识，并形成正确的政治思想观念，加强爱国主义教育。大学语文课程注重学生语文素养的培养，让学生明白语言的重要性和文化内涵。要密切结合讲读课文、学生关心的热点话题等对学生进行口头和书面表达训练</w:t>
            </w:r>
          </w:p>
        </w:tc>
        <w:tc>
          <w:tcPr>
            <w:tcW w:w="2842" w:type="dxa"/>
            <w:vAlign w:val="center"/>
          </w:tcPr>
          <w:p w14:paraId="7A75C3A9">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讲授规定的必讲篇目，并选讲一定数量的自选篇目。培养学生对文学作品的阅读、欣赏和体悟能力。结合教学，播放2至3次著名影视文学作品，以增强学生的直观感受和理解。应结合职业教育的特点，遵循大学语文教学的工具性、人文性和审美性三大维度入手。从学生实际出发，兼顾各类专业，精选学习内容，改革教学方法，使全体学生获得应该具备的语文素养。以人文知识内容为本位，以文学作品为蓝本，融合语文能力培养。以传统语文知识为基础提升学生的人文精神和审美能力</w:t>
            </w:r>
          </w:p>
        </w:tc>
      </w:tr>
      <w:tr w14:paraId="29A8C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39A8A770">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8</w:t>
            </w:r>
          </w:p>
        </w:tc>
        <w:tc>
          <w:tcPr>
            <w:tcW w:w="1065" w:type="dxa"/>
            <w:vAlign w:val="center"/>
          </w:tcPr>
          <w:p w14:paraId="0C977215">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体育与健康</w:t>
            </w:r>
          </w:p>
        </w:tc>
        <w:tc>
          <w:tcPr>
            <w:tcW w:w="2256" w:type="dxa"/>
            <w:vAlign w:val="center"/>
          </w:tcPr>
          <w:p w14:paraId="767ADD9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1.基本形成终身体育的意识和习惯，能测试和评价自身体质健康状况</w:t>
            </w:r>
          </w:p>
          <w:p w14:paraId="37BB0EE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2.熟练掌握两项以上健身运动的基本方法和技能；能科学地进行体育锻炼</w:t>
            </w:r>
          </w:p>
          <w:p w14:paraId="4CA320E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3.形成良好的体育锻炼习惯；具有较高的体育文化素养和观赏水平</w:t>
            </w:r>
          </w:p>
        </w:tc>
        <w:tc>
          <w:tcPr>
            <w:tcW w:w="2950" w:type="dxa"/>
            <w:vAlign w:val="center"/>
          </w:tcPr>
          <w:p w14:paraId="10EDD553">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分为基础模块、兴趣选项模块两大部分。基础模块包括队列队形练习、田径基本技能、24式太极拳、拓展训练、《体育与健康》基本理论与健康知识；兴趣选项模块包括篮球、足球、乒乓球、羽毛球、健美操、武术、五禽戏、八段锦和各运动项目的基本理论知识、规则与裁判法</w:t>
            </w:r>
          </w:p>
        </w:tc>
        <w:tc>
          <w:tcPr>
            <w:tcW w:w="2842" w:type="dxa"/>
            <w:vAlign w:val="center"/>
          </w:tcPr>
          <w:p w14:paraId="2FAD09F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体育课程是促进身心发展、融合德育智育与体育技能的教育过程，是素质教育的重要途径。掌握科学健身知识与方法，增强自我保健意识；通过锻炼提升体能，养成健康生活方式。在运动中感受集体温暖，提升抗挫折能力与情绪调节能力；通过克服困难培养坚毅品质，在进步中增强自信，形成积极乐观的生活态度。培养合作竞争精神，尊重他人，恪守体育道德，践行集体主义与爱国主义精神</w:t>
            </w:r>
          </w:p>
        </w:tc>
      </w:tr>
      <w:tr w14:paraId="4780A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11AD4782">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9</w:t>
            </w:r>
          </w:p>
        </w:tc>
        <w:tc>
          <w:tcPr>
            <w:tcW w:w="1065" w:type="dxa"/>
            <w:vAlign w:val="center"/>
          </w:tcPr>
          <w:p w14:paraId="68596A86">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基础英语</w:t>
            </w:r>
          </w:p>
        </w:tc>
        <w:tc>
          <w:tcPr>
            <w:tcW w:w="2256" w:type="dxa"/>
            <w:vAlign w:val="center"/>
          </w:tcPr>
          <w:p w14:paraId="681C8ECB">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1.掌握一定的、必要的、实用的英语语音、词汇、语法等英语基础知识和技能</w:t>
            </w:r>
          </w:p>
          <w:p w14:paraId="27EBFD17">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2.有一定的听、说、读、写、译的能力，能够在日常生活和职场情境下进行有效的口头交流和书面表达</w:t>
            </w:r>
          </w:p>
          <w:p w14:paraId="5023327B">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3.加深对中华优秀传统文化的认同，形成正确的价值观，增强用英语讲好中国故事、传播中华文化的意识</w:t>
            </w:r>
          </w:p>
        </w:tc>
        <w:tc>
          <w:tcPr>
            <w:tcW w:w="2950" w:type="dxa"/>
            <w:vAlign w:val="center"/>
          </w:tcPr>
          <w:p w14:paraId="4CE874B7">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以学生在中学阶段学到的英语为起点，提供听、说、读、写、译技能的基础性综合训练，注重实际应用、培养学生一定的语言运用能力</w:t>
            </w:r>
          </w:p>
        </w:tc>
        <w:tc>
          <w:tcPr>
            <w:tcW w:w="2842" w:type="dxa"/>
            <w:vAlign w:val="center"/>
          </w:tcPr>
          <w:p w14:paraId="663E99A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高职英语教学以英语的实际使用为导向，以培养学生的英语应用能力为核心。在把握学生学习能力的基础上，注重发展学生运用语言能力，进一步提升其交流能力和跨文化交际能力，以使学生在日常生活、专业学习和职业岗位等不同领域或语境中能够用英语有效地进行交流。本课程应基于产出导向法（POA）、任务教学法、讲授法等多种符合高职高专学生学习规律的方法借助多模态教学材料实现课程教学目标</w:t>
            </w:r>
          </w:p>
        </w:tc>
      </w:tr>
      <w:tr w14:paraId="6623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69F549E">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10</w:t>
            </w:r>
          </w:p>
        </w:tc>
        <w:tc>
          <w:tcPr>
            <w:tcW w:w="1065" w:type="dxa"/>
            <w:vAlign w:val="center"/>
          </w:tcPr>
          <w:p w14:paraId="6DF08F4B">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信息技术</w:t>
            </w:r>
          </w:p>
        </w:tc>
        <w:tc>
          <w:tcPr>
            <w:tcW w:w="2256" w:type="dxa"/>
            <w:vAlign w:val="center"/>
          </w:tcPr>
          <w:p w14:paraId="2E69C4B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1.通过理论知识学习、技能训练和综合应用实践，使学生的信息素养和信息技术应用能力得到全面提升；</w:t>
            </w:r>
          </w:p>
          <w:p w14:paraId="558DCE6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通过丰富的教学内容和多样化的教学形式，帮助学生认识信息技术的重要作用，了解现代社会信息技术发展趋势；使学生掌握常用的工具软件和信息化办公技术，具备支撑专业学习的能力，能综合运用信息技术解决问题；使学生拥有团队意识和职业精神，具备独立思考和主动探究能力</w:t>
            </w:r>
          </w:p>
        </w:tc>
        <w:tc>
          <w:tcPr>
            <w:tcW w:w="2950" w:type="dxa"/>
            <w:vAlign w:val="center"/>
          </w:tcPr>
          <w:p w14:paraId="6972183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计算机基础知识、系统的构成、信息安全等</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操作系统的基本概念和作用；Windows操作系统的基本操作。</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文档的基本编辑、图片的插入和编辑、表格的插入和编辑、样式与模板的创建和使用等内容</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电子表格中工作表和工作簿操作、公式和函数的使用、图表分析展示数据、数据处理等内容</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演示文稿制作、动画设计、母版制作和使用、演示文稿放映和导出等内容。信息检索基础知识及检索操作。新一代信息技术的基本概念、技术特点及典型应用</w:t>
            </w:r>
          </w:p>
        </w:tc>
        <w:tc>
          <w:tcPr>
            <w:tcW w:w="2842" w:type="dxa"/>
            <w:vAlign w:val="center"/>
          </w:tcPr>
          <w:p w14:paraId="6D78FC6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教学要紧扣学科核心素养和课程目标，在全面贯彻党的教育方针，落实立德树人根本任务的基础上，突出职业教育特色，提升学生的信息素养，培养学生的数字化学习能力和利用信息技术解决实际问题的能力。贯彻课程思政要求，加强对学生的情感态度和社会责任的教育；采用理论与实践相结合的教学方式，提升学生的信息技术技能和综合应用能力；培养学生的数字化学习能力和创新意识，使学生能将信息技术创新应用于日常生活、学习和工作中</w:t>
            </w:r>
          </w:p>
        </w:tc>
      </w:tr>
      <w:tr w14:paraId="5D3F5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8FA1CD0">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11</w:t>
            </w:r>
          </w:p>
        </w:tc>
        <w:tc>
          <w:tcPr>
            <w:tcW w:w="1065" w:type="dxa"/>
            <w:vAlign w:val="center"/>
          </w:tcPr>
          <w:p w14:paraId="7DBE7F11">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大学生心理健康教育</w:t>
            </w:r>
          </w:p>
        </w:tc>
        <w:tc>
          <w:tcPr>
            <w:tcW w:w="2256" w:type="dxa"/>
            <w:vAlign w:val="center"/>
          </w:tcPr>
          <w:p w14:paraId="33FC1EF2">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1.结合学生群体心理发展特点及阶段心理困扰类型，帮助学生了解心理健康的基本知识，树立心理健康意识，掌握心理调适的方法；</w:t>
            </w:r>
          </w:p>
          <w:p w14:paraId="7550408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2.引导学生适应新环境、正确认识自我、正确处理各种人际关系，进行情绪调适，促进学生养成良好的心理品质，提高职业素养和社会适应能力；</w:t>
            </w:r>
          </w:p>
          <w:p w14:paraId="025B846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3.通过心理健康课程教育体系，引导学生养成良好的心理品质和积极应对危机的意识</w:t>
            </w:r>
          </w:p>
        </w:tc>
        <w:tc>
          <w:tcPr>
            <w:tcW w:w="2950" w:type="dxa"/>
            <w:vAlign w:val="center"/>
          </w:tcPr>
          <w:p w14:paraId="0EA0634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大学生心理健康的概念与标准、大学生心理发展的特点和影响因素、大学生常见心理行为问题与调适方法；自我意识的含义、大学生自我发展的特点和重要性、自我意识发展过程中出现的偏差及调适；情绪的概念、大学生的情绪特点和影响因素、情绪调适的方法；大学生人际交往特点、人际交往中的心理效应和技巧；学习动机、学习习惯、基本学习能力、学习策略；环境适应、学习适应、生活适应；爱的定义与类型、爱的能力培养、爱情中的心理现象</w:t>
            </w:r>
          </w:p>
        </w:tc>
        <w:tc>
          <w:tcPr>
            <w:tcW w:w="2842" w:type="dxa"/>
            <w:vAlign w:val="center"/>
          </w:tcPr>
          <w:p w14:paraId="45A516E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心理健康课是集知识、体验和训练为一体的综合课程。课程要注重理论联系实际，注重培养学生实际应用能力；要充分发挥师生在教学中的主动性和创造性。教师要尊重学生的主体性，充分调动学生参与的积极性，开展课堂互动活动，避免单向的理论灌输和知识传授；课程要采用理论与体验教学相结合、讲授与训练相结合的教学方法，如案例分析、小组讨论、心理测试、团体训练、情境表演、角色扮演等</w:t>
            </w:r>
          </w:p>
        </w:tc>
      </w:tr>
      <w:tr w14:paraId="35B86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34D4F9F2">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12</w:t>
            </w:r>
          </w:p>
        </w:tc>
        <w:tc>
          <w:tcPr>
            <w:tcW w:w="1065" w:type="dxa"/>
            <w:vAlign w:val="center"/>
          </w:tcPr>
          <w:p w14:paraId="52CBEF13">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军事教育</w:t>
            </w:r>
          </w:p>
          <w:p w14:paraId="53846E5C">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与技能训练</w:t>
            </w:r>
          </w:p>
        </w:tc>
        <w:tc>
          <w:tcPr>
            <w:tcW w:w="2256" w:type="dxa"/>
            <w:vAlign w:val="center"/>
          </w:tcPr>
          <w:p w14:paraId="2DDB4F3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w:t>
            </w:r>
            <w:r>
              <w:rPr>
                <w:rFonts w:hint="eastAsia" w:ascii="仿宋" w:hAnsi="仿宋" w:eastAsia="仿宋" w:cs="仿宋"/>
                <w:b w:val="0"/>
                <w:snapToGrid w:val="0"/>
                <w:color w:val="auto"/>
                <w:kern w:val="0"/>
                <w:sz w:val="18"/>
                <w:szCs w:val="18"/>
                <w:highlight w:val="none"/>
                <w:lang w:val="en-US" w:eastAsia="zh-CN" w:bidi="ar-SA"/>
              </w:rPr>
              <w:tab/>
            </w:r>
            <w:r>
              <w:rPr>
                <w:rFonts w:hint="eastAsia" w:ascii="仿宋" w:hAnsi="仿宋" w:eastAsia="仿宋" w:cs="仿宋"/>
                <w:b w:val="0"/>
                <w:snapToGrid w:val="0"/>
                <w:color w:val="auto"/>
                <w:kern w:val="0"/>
                <w:sz w:val="18"/>
                <w:szCs w:val="18"/>
                <w:highlight w:val="none"/>
                <w:lang w:val="en-US" w:eastAsia="zh-CN" w:bidi="ar-SA"/>
              </w:rPr>
              <w:t>以国防教育为主线，通过军事课教学，使大学生掌握基本军事理论与军事技能；</w:t>
            </w:r>
          </w:p>
          <w:p w14:paraId="2B3ACDA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增强大学生国防观念和国家安全意识，强化爱国主义，集体主义观念，加强组织纪律性；促进大学生综合素质的提高，为中国人民解放军训练后备兵员和培养预备役军官打下坚实的基础，培养大学生时刻心系国防、关注国防，强化为国防建设服务的思想</w:t>
            </w:r>
          </w:p>
        </w:tc>
        <w:tc>
          <w:tcPr>
            <w:tcW w:w="2950" w:type="dxa"/>
            <w:vAlign w:val="center"/>
          </w:tcPr>
          <w:p w14:paraId="3B5408A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介绍中国国防概述、国防法规、国防建设、中国的武装力量、国防动员；国家安全概述、国家安全形势、国际战略形势；中国古代军事思想、当代中国军事思想，习近平强军思想；现代战争概述、新军事革命、机械和信息化战争等</w:t>
            </w:r>
          </w:p>
        </w:tc>
        <w:tc>
          <w:tcPr>
            <w:tcW w:w="2842" w:type="dxa"/>
            <w:vAlign w:val="center"/>
          </w:tcPr>
          <w:p w14:paraId="0521534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军事课列入学校的教学计划，按照《大纲》组织实施军事课教学，严格考勤考核制度。军事理论教学时数为36学时，在教学过程中，要掌握好深度，不断改进教学方法，积极采用以计算机为中心的多媒体教学，确保教学质量</w:t>
            </w:r>
          </w:p>
        </w:tc>
      </w:tr>
      <w:tr w14:paraId="553C1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35282B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13</w:t>
            </w:r>
          </w:p>
        </w:tc>
        <w:tc>
          <w:tcPr>
            <w:tcW w:w="1065" w:type="dxa"/>
            <w:vAlign w:val="center"/>
          </w:tcPr>
          <w:p w14:paraId="36E9C7C4">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劳动教育</w:t>
            </w:r>
          </w:p>
        </w:tc>
        <w:tc>
          <w:tcPr>
            <w:tcW w:w="2256" w:type="dxa"/>
            <w:vAlign w:val="center"/>
          </w:tcPr>
          <w:p w14:paraId="22C1B0B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1.理解和形成马克思主义劳动观；</w:t>
            </w:r>
          </w:p>
          <w:p w14:paraId="4D67B576">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2.牢固树立劳动最光荣、劳动最崇高劳动最伟大、劳动最美丽的观念；</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3.培养勤俭、奋斗、创新、奉献的劳动精神，树立“以劳润德、以劳正心、生活本位”的劳动理念，培养大学生运用所学专业创造美好生活的能力</w:t>
            </w:r>
          </w:p>
        </w:tc>
        <w:tc>
          <w:tcPr>
            <w:tcW w:w="2950" w:type="dxa"/>
            <w:vAlign w:val="center"/>
          </w:tcPr>
          <w:p w14:paraId="5CD82D42">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日常生活劳动、生产劳动和服务性劳动等实践活动为主，开展劳动精神、劳模精神、工匠精神专题教育，进行校园卫生保洁、绿化美化和寝室卫生打扫等；围绕创新创业，结合专业积极开展实习实训、专业服务、社会实践、勤工助学等</w:t>
            </w:r>
          </w:p>
        </w:tc>
        <w:tc>
          <w:tcPr>
            <w:tcW w:w="2842" w:type="dxa"/>
            <w:vAlign w:val="center"/>
          </w:tcPr>
          <w:p w14:paraId="3C3292C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基于实践，围绕课程内容设计教学活动，注重探讨式和体验式学习；根据课程内容、结合学生特点，设计适合学生更好认知劳动的活动或议题。把劳动教育融入日常教学工作，为学生创造形式多样的劳动实践机会，引导学生深入理解劳动的价值，通过课堂内外的劳动实践活动来体会辛勤劳动、诚实劳动以及创造性劳动的真实意义，让学生懂得劳动才是成就自身技能梦想的有效途径</w:t>
            </w:r>
          </w:p>
        </w:tc>
      </w:tr>
      <w:tr w14:paraId="406A2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30911A4D">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14</w:t>
            </w:r>
          </w:p>
        </w:tc>
        <w:tc>
          <w:tcPr>
            <w:tcW w:w="1065" w:type="dxa"/>
            <w:vAlign w:val="center"/>
          </w:tcPr>
          <w:p w14:paraId="56E91B2C">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学生体质健康监测</w:t>
            </w:r>
          </w:p>
        </w:tc>
        <w:tc>
          <w:tcPr>
            <w:tcW w:w="2256" w:type="dxa"/>
            <w:vAlign w:val="center"/>
          </w:tcPr>
          <w:p w14:paraId="2172B88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1.从身体形态、身体机能和身体素质等方面综合评定学生的体质健康水平；</w:t>
            </w:r>
          </w:p>
          <w:p w14:paraId="567C608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2.促进学生体质健康发展、激励学生积极进行身体锻炼；</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3.促进学生发展核心素养体系，提升学业质量标准</w:t>
            </w:r>
          </w:p>
        </w:tc>
        <w:tc>
          <w:tcPr>
            <w:tcW w:w="2950" w:type="dxa"/>
            <w:vAlign w:val="center"/>
          </w:tcPr>
          <w:p w14:paraId="443F28A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测试内容：身高、体重、肺活量、50米跑、坐位体前屈、立定跳远、引体向上（男）/1分钟仰卧起坐（女）、1000米跑（男）/800米跑（女）</w:t>
            </w:r>
          </w:p>
        </w:tc>
        <w:tc>
          <w:tcPr>
            <w:tcW w:w="2842" w:type="dxa"/>
            <w:vAlign w:val="center"/>
          </w:tcPr>
          <w:p w14:paraId="0BBAF5C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学生测试成绩评定达到良好及以上者，方可参加评优与评奖；成绩达到优秀者，方可获得体育奖学分。测试成绩评定不及格者，在本学年度准予补测一次，补测仍不及格，则学年成绩评定为不及格。普通高等学校学生毕业时，《标准》测试的成绩达不到50分者按结业或肄业处理</w:t>
            </w:r>
          </w:p>
        </w:tc>
      </w:tr>
      <w:tr w14:paraId="1D678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41263E26">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15</w:t>
            </w:r>
          </w:p>
        </w:tc>
        <w:tc>
          <w:tcPr>
            <w:tcW w:w="1065" w:type="dxa"/>
            <w:vAlign w:val="center"/>
          </w:tcPr>
          <w:p w14:paraId="322D9503">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学生心理体验课堂</w:t>
            </w:r>
          </w:p>
        </w:tc>
        <w:tc>
          <w:tcPr>
            <w:tcW w:w="2256" w:type="dxa"/>
            <w:vAlign w:val="center"/>
          </w:tcPr>
          <w:p w14:paraId="2EAD04C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1.维护学生的身心健康、生命安全和校园的和谐稳定；</w:t>
            </w:r>
          </w:p>
          <w:p w14:paraId="2592F89B">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2.提高学生心理调适能力，增强心理保健意识</w:t>
            </w:r>
          </w:p>
        </w:tc>
        <w:tc>
          <w:tcPr>
            <w:tcW w:w="2950" w:type="dxa"/>
            <w:vAlign w:val="center"/>
          </w:tcPr>
          <w:p w14:paraId="1229CFC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个案咨询、团体辅导、心理健康月主题系列活动</w:t>
            </w:r>
          </w:p>
        </w:tc>
        <w:tc>
          <w:tcPr>
            <w:tcW w:w="2842" w:type="dxa"/>
            <w:vAlign w:val="center"/>
          </w:tcPr>
          <w:p w14:paraId="3B50EDF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积极构建发展性咨询与障碍性咨询相结合、团体辅导与个别咨询相结合、线下咨询与网络咨询相结合的心理咨询服务体系；精心设计和综合运用各种活动教育载体，注重不断创新活动载体，多渠道、多形式、多媒介地贴近学生需求及活动开展的系统性，助力学生健康成长、全面发展</w:t>
            </w:r>
          </w:p>
        </w:tc>
      </w:tr>
      <w:tr w14:paraId="30EBC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1ECAD5BB">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16</w:t>
            </w:r>
          </w:p>
        </w:tc>
        <w:tc>
          <w:tcPr>
            <w:tcW w:w="1065" w:type="dxa"/>
            <w:vAlign w:val="center"/>
          </w:tcPr>
          <w:p w14:paraId="08814AD2">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大学生职业生涯规划</w:t>
            </w:r>
          </w:p>
        </w:tc>
        <w:tc>
          <w:tcPr>
            <w:tcW w:w="2256" w:type="dxa"/>
            <w:vAlign w:val="center"/>
          </w:tcPr>
          <w:p w14:paraId="42A6EB8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1.掌握系统职业生涯规划的具体内容和基本理论</w:t>
            </w:r>
          </w:p>
          <w:p w14:paraId="775F259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2.能熟练地运用职业生涯规划的方法和工具、策略进行生涯抉择和管理</w:t>
            </w:r>
          </w:p>
          <w:p w14:paraId="323A8FF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3.唤醒学生生涯发展内驱力，树立学业规划和职业生涯应变意识</w:t>
            </w:r>
          </w:p>
        </w:tc>
        <w:tc>
          <w:tcPr>
            <w:tcW w:w="2950" w:type="dxa"/>
            <w:vAlign w:val="center"/>
          </w:tcPr>
          <w:p w14:paraId="62AE5D9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认知大学生活与职业规划；学会自我认知；加强职业认知；职业生涯规划的决策与实施；评估与修正职业生涯规划；学会管理职业生涯</w:t>
            </w:r>
          </w:p>
        </w:tc>
        <w:tc>
          <w:tcPr>
            <w:tcW w:w="2842" w:type="dxa"/>
            <w:vAlign w:val="center"/>
          </w:tcPr>
          <w:p w14:paraId="547AF26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关注学生的职业生涯发展，立足于学生职业生涯发展能力的培养和知识的实际应用，立足于与职业生活和学生实际生活的紧密结合，强调职业生涯发展指导的实效性；为学生提供个性化指导，使每个学生都能体验到学习的乐趣以及实用性，以满足自我发展的需要</w:t>
            </w:r>
          </w:p>
        </w:tc>
      </w:tr>
      <w:tr w14:paraId="1C956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64E4E14E">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17</w:t>
            </w:r>
          </w:p>
        </w:tc>
        <w:tc>
          <w:tcPr>
            <w:tcW w:w="1065" w:type="dxa"/>
            <w:vAlign w:val="center"/>
          </w:tcPr>
          <w:p w14:paraId="75921F6E">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就业与创</w:t>
            </w:r>
          </w:p>
          <w:p w14:paraId="5CF9CEB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业指导</w:t>
            </w:r>
          </w:p>
        </w:tc>
        <w:tc>
          <w:tcPr>
            <w:tcW w:w="2256" w:type="dxa"/>
            <w:vAlign w:val="center"/>
          </w:tcPr>
          <w:p w14:paraId="2842D05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1.掌握就业创业的基本形势、政策、途径以及求职方法和技巧；</w:t>
            </w:r>
          </w:p>
          <w:p w14:paraId="43584659">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2.能进行人职匹配分析，系统练习、提升求职创业能力；</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3.引导学生形成科学合理的就业观念培养学生的竞争意识，帮助学生打通职业通道</w:t>
            </w:r>
          </w:p>
        </w:tc>
        <w:tc>
          <w:tcPr>
            <w:tcW w:w="2950" w:type="dxa"/>
            <w:vAlign w:val="center"/>
          </w:tcPr>
          <w:p w14:paraId="2FD3AC0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当前就业形势与政策，医学毕业生的就业途径和形式；就业信息收集和运用；就业法律法规；创业基本理论</w:t>
            </w:r>
          </w:p>
        </w:tc>
        <w:tc>
          <w:tcPr>
            <w:tcW w:w="2842" w:type="dxa"/>
            <w:vAlign w:val="center"/>
          </w:tcPr>
          <w:p w14:paraId="0A808663">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培养和提升学生的职业素养和求职竞争力，并根据医学学科特点，引导学生形成科学合理的就业观念，了解求职就业的基本方法和技巧，帮助学生顺利就业、适应职场和可持续发展</w:t>
            </w:r>
          </w:p>
        </w:tc>
      </w:tr>
      <w:tr w14:paraId="32FA0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C2317C0">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18</w:t>
            </w:r>
          </w:p>
        </w:tc>
        <w:tc>
          <w:tcPr>
            <w:tcW w:w="1065" w:type="dxa"/>
            <w:vAlign w:val="center"/>
          </w:tcPr>
          <w:p w14:paraId="3716C378">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卫生法律</w:t>
            </w:r>
          </w:p>
          <w:p w14:paraId="01EE73BB">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法规</w:t>
            </w:r>
          </w:p>
        </w:tc>
        <w:tc>
          <w:tcPr>
            <w:tcW w:w="2256" w:type="dxa"/>
            <w:vAlign w:val="center"/>
          </w:tcPr>
          <w:p w14:paraId="61751DAB">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1.掌握卫生法律法规的基本理论，对本学科的基本概念、基本理论</w:t>
            </w:r>
          </w:p>
          <w:p w14:paraId="6726B06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2.使学生具有法律思维、法律意识以及辩证思维，具备初步处理医护的法律问题的能力</w:t>
            </w:r>
          </w:p>
          <w:p w14:paraId="78479E08">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3.培养学生的动手能力及发现问题和分析解决问题的能力</w:t>
            </w:r>
          </w:p>
        </w:tc>
        <w:tc>
          <w:tcPr>
            <w:tcW w:w="2950" w:type="dxa"/>
            <w:vAlign w:val="center"/>
          </w:tcPr>
          <w:p w14:paraId="6611CD73">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卫生法律法规的概念、卫生法的渊源与体系、卫生法律法规的规范作用和社会作用、卫生技术人员管理法律制度、医疗事故处理法律制度、传染病防治法、献血法、药品管理法等</w:t>
            </w:r>
          </w:p>
        </w:tc>
        <w:tc>
          <w:tcPr>
            <w:tcW w:w="2842" w:type="dxa"/>
            <w:vAlign w:val="center"/>
          </w:tcPr>
          <w:p w14:paraId="0CA069A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就业岗位对从业人员法律知识的需求为核心，以法律法规为线索，遵循“必需、够用，兼顾发展”的原则，通过案例分析、法条解读、解决医疗事故纠纷等活动，构建完整严谨的思维模式，形成相应的职业能力。教学应以实际案例为载体，设计教学活动，重点突出法律知识运用的培养，同时融合相关职业资格证书的知识与技能要求，使学生通过本课程的学习，具有一定的职业法律知识储备和思维素质</w:t>
            </w:r>
          </w:p>
        </w:tc>
      </w:tr>
      <w:tr w14:paraId="014E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D85AA30">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19</w:t>
            </w:r>
          </w:p>
        </w:tc>
        <w:tc>
          <w:tcPr>
            <w:tcW w:w="1065" w:type="dxa"/>
            <w:vAlign w:val="center"/>
          </w:tcPr>
          <w:p w14:paraId="0EF1867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普通话实训与测试※</w:t>
            </w:r>
          </w:p>
        </w:tc>
        <w:tc>
          <w:tcPr>
            <w:tcW w:w="2256" w:type="dxa"/>
            <w:vAlign w:val="center"/>
          </w:tcPr>
          <w:p w14:paraId="47A6D3F7">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1.掌握普通话的语音知识、朗读知识、说话知识和普通话测试的方法要求</w:t>
            </w:r>
          </w:p>
          <w:p w14:paraId="25D9E99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2.能用标准和比较标准的普通话进行口语交际和测试，并达到国家规定的普通话等级标准</w:t>
            </w:r>
          </w:p>
          <w:p w14:paraId="4228B18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3.教育学生热爱祖国的语言，增强语言规范意识；克服各种思想顾虑</w:t>
            </w:r>
          </w:p>
        </w:tc>
        <w:tc>
          <w:tcPr>
            <w:tcW w:w="2950" w:type="dxa"/>
            <w:vAlign w:val="center"/>
          </w:tcPr>
          <w:p w14:paraId="1AA99129">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国家语言文字政策为依据，讲授普通话的基础理论和基本知识，使学生掌握普通话语音基本知识和普通话声、韵、调、音变的发音要领：具备较强的方音辨证能力和自我训练能力：能用规范标准或比较规范标准的普通话进行朗读、说话及其他口语交际</w:t>
            </w:r>
          </w:p>
        </w:tc>
        <w:tc>
          <w:tcPr>
            <w:tcW w:w="2842" w:type="dxa"/>
            <w:vAlign w:val="center"/>
          </w:tcPr>
          <w:p w14:paraId="1B0C7F1D">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教师必须具备专业的普通话水平和教学能力，能够准确示范发音，清晰讲解知识。设计丰富多样、针对性强的教学活动和练习，及时给予学生准确地反馈和指导。学生积极参与课堂活动，认真听讲，按时完成作业和练习。自我监督，养成日常使用普通话交流的习惯，不断自我纠正错误。教学方法方面采用理论与实践相结合的教学方式，注重个性化教学，满足不同学生的需求。在考核方面建立科学合理的考核评价体系，全面评估学生的普通话水平和学习效果</w:t>
            </w:r>
          </w:p>
        </w:tc>
      </w:tr>
      <w:tr w14:paraId="2BC03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46EFE68">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20</w:t>
            </w:r>
          </w:p>
        </w:tc>
        <w:tc>
          <w:tcPr>
            <w:tcW w:w="1065" w:type="dxa"/>
            <w:vAlign w:val="center"/>
          </w:tcPr>
          <w:p w14:paraId="13216C28">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“四史”教育※</w:t>
            </w:r>
          </w:p>
        </w:tc>
        <w:tc>
          <w:tcPr>
            <w:tcW w:w="2256" w:type="dxa"/>
            <w:vAlign w:val="center"/>
          </w:tcPr>
          <w:p w14:paraId="59A31234">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w:t>
            </w:r>
            <w:r>
              <w:rPr>
                <w:rFonts w:hint="eastAsia" w:ascii="仿宋" w:hAnsi="仿宋" w:eastAsia="仿宋" w:cs="仿宋"/>
                <w:b w:val="0"/>
                <w:snapToGrid w:val="0"/>
                <w:color w:val="auto"/>
                <w:kern w:val="0"/>
                <w:sz w:val="18"/>
                <w:szCs w:val="18"/>
                <w:highlight w:val="none"/>
                <w:lang w:val="en-US" w:eastAsia="zh-CN" w:bidi="ar-SA"/>
              </w:rPr>
              <w:tab/>
            </w:r>
            <w:r>
              <w:rPr>
                <w:rFonts w:hint="eastAsia" w:ascii="仿宋" w:hAnsi="仿宋" w:eastAsia="仿宋" w:cs="仿宋"/>
                <w:b w:val="0"/>
                <w:snapToGrid w:val="0"/>
                <w:color w:val="auto"/>
                <w:kern w:val="0"/>
                <w:sz w:val="18"/>
                <w:szCs w:val="18"/>
                <w:highlight w:val="none"/>
                <w:lang w:val="en-US" w:eastAsia="zh-CN" w:bidi="ar-SA"/>
              </w:rPr>
              <w:t>掌握党史、新中国史、改革开放史、社会主义发展史的基本知识，析事明理提升历史认知水平；</w:t>
            </w:r>
          </w:p>
          <w:p w14:paraId="2957F1CB">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2.能深入了解中国共产党一百年光辉历程，深入了解中华民族从站起来、富起来到强起来的风雨历程，树立正确历史观，坚决摒弃历史虚无主义；</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3.树立爱党、爱国、爱社会主义、爱人民、爱英雄情怀，坚定对马克思主义的信仰、对中国特色社会主义的信念、对中华民族伟大复兴中国梦的信心</w:t>
            </w:r>
          </w:p>
        </w:tc>
        <w:tc>
          <w:tcPr>
            <w:tcW w:w="2950" w:type="dxa"/>
            <w:vAlign w:val="center"/>
          </w:tcPr>
          <w:p w14:paraId="3536370C">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主要讲授“四史”，即中国共产党党史、新中国史、改革开放史、社会主义发展史。“四史”教育要以习近平新时代中国特色社会主义思想为指导。“四史”教育要与思想政治教育相统筹，要与加强爱国主义、集体主义、社会主义教育，社会主义核心价值观教育，中华优秀传统文化和革命文化、社会主义先进文化教育，国家意识、法治意识、社会责任意识教育，民族团结进步教育、国家安全教育、科学精神教育等相结合。“四史”教育要以党史学习教育为重点</w:t>
            </w:r>
          </w:p>
        </w:tc>
        <w:tc>
          <w:tcPr>
            <w:tcW w:w="2842" w:type="dxa"/>
            <w:vAlign w:val="center"/>
          </w:tcPr>
          <w:p w14:paraId="1C68074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加强以党史学习教育为重点的“四史”教育，要以习近平新时代中国特色社会主义思想为指导，全面落实立德树人根本任务。准确把握教材基本精神，充分利用媒体资源、创新方式方法，通过“周末理论大讲堂”等组织上好网络大课，创新网络教学形式。采取理论与实践结合、线上与线下结合、教师讲授与学生读原著、学原文、悟原理结合等方式开展教学，有效提升学生的政治认同、思想认同、情感认同，真正做到“学史明理、学史增信、学史崇德、学史力行”</w:t>
            </w:r>
          </w:p>
        </w:tc>
      </w:tr>
      <w:tr w14:paraId="4B81B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82F11AF">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21</w:t>
            </w:r>
          </w:p>
        </w:tc>
        <w:tc>
          <w:tcPr>
            <w:tcW w:w="1065" w:type="dxa"/>
            <w:vAlign w:val="center"/>
          </w:tcPr>
          <w:p w14:paraId="309DBB33">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中华优秀</w:t>
            </w:r>
          </w:p>
          <w:p w14:paraId="1E5978F8">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传统文化※</w:t>
            </w:r>
          </w:p>
        </w:tc>
        <w:tc>
          <w:tcPr>
            <w:tcW w:w="2256" w:type="dxa"/>
            <w:vAlign w:val="center"/>
          </w:tcPr>
          <w:p w14:paraId="0AB2661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1.诵读、鉴赏中国传统优秀文学作品，感受文学作品的艺术形式，领悟其审美意蕴；</w:t>
            </w:r>
          </w:p>
          <w:p w14:paraId="36848DA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2.能够正确、规范地使用汉语进行书写和表达交流。为学生的专业学习和终身发展夯实基础；</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3.增强对中华优秀传统文化的认同感和自豪感，有民族文化自信，促进学生继承并发扬传统文化，修养学生行为、重塑学生人格、提升学生文化素养</w:t>
            </w:r>
          </w:p>
        </w:tc>
        <w:tc>
          <w:tcPr>
            <w:tcW w:w="2950" w:type="dxa"/>
            <w:vAlign w:val="center"/>
          </w:tcPr>
          <w:p w14:paraId="77151C6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主要讲授国学经典，以中国传统文化的基本精神为主线，分模块，从多层次、多角度展示儒道释文化，史学、文学、音乐、绘画、书法等中国传统文化的主要内容和特色，通过朗诵、诵读和鉴赏，理解中国传统文化思想的内涵，增强文化底蕴，提升语言文字的使用规范及语言审美鉴赏力。确定中华优秀传统文化的主题内容，突出核心思想理念、中华人文精神、中华传统美德三个方面，明确每个方面的具体内涵，以此作为课程教材遴选内容的根本遵循</w:t>
            </w:r>
          </w:p>
        </w:tc>
        <w:tc>
          <w:tcPr>
            <w:tcW w:w="2842" w:type="dxa"/>
            <w:vAlign w:val="center"/>
          </w:tcPr>
          <w:p w14:paraId="7069758E">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以落实立德树人根本任务为目的，将培育学生的学科核心素养贯穿于教学活动全过程。创新网络教学形式，利用网络平台，建设传统文化课程网站、微信公众号等平台，为学生提供更加便捷的学习方式。同时，还可以利用虚拟现实技术，将传统文化场景进行还原和展示，让学生更加深入地体验传统文化的魅力。注重理论与实践相结合，组织学生参观博物馆、文化遗址等场所，让学生更加深入地了解中华优秀传统文化的历史和内涵，领会中华优秀传统文化的精髓</w:t>
            </w:r>
          </w:p>
        </w:tc>
      </w:tr>
      <w:tr w14:paraId="0A9D9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1A9A7A39">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22</w:t>
            </w:r>
          </w:p>
        </w:tc>
        <w:tc>
          <w:tcPr>
            <w:tcW w:w="1065" w:type="dxa"/>
            <w:vAlign w:val="center"/>
          </w:tcPr>
          <w:p w14:paraId="62141F75">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大学美育※</w:t>
            </w:r>
          </w:p>
        </w:tc>
        <w:tc>
          <w:tcPr>
            <w:tcW w:w="2256" w:type="dxa"/>
            <w:vAlign w:val="center"/>
          </w:tcPr>
          <w:p w14:paraId="3D7D0B6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1.理解并掌握中外美术鉴赏基本理论知识，了解具象艺术：意象艺术和抽象艺术的理论知识；</w:t>
            </w:r>
          </w:p>
          <w:p w14:paraId="6DF5D14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2.提高学生对美的敏锐觉察能力和感受能力、认知能力、创造能力，学会用美术语音点线面色体去观察创造形象；</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3.具有良好的职业道德，科学严谨的工作作风、环境保护意识</w:t>
            </w:r>
          </w:p>
        </w:tc>
        <w:tc>
          <w:tcPr>
            <w:tcW w:w="2950" w:type="dxa"/>
            <w:vAlign w:val="center"/>
          </w:tcPr>
          <w:p w14:paraId="34BB6AA6">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概述美育，充分挖掘和运用各学科蕴含的体现中华美与精神与民族审美特质的心灵美、礼乐美、语言美、行为美、科学美、秩序美、健康美、勤劳美、艺术美等丰富的美育资源，开设音乐、美术、书法、舞蹈、戏剧、戏曲、影视、剪纸等艺术鉴赏内容</w:t>
            </w:r>
          </w:p>
        </w:tc>
        <w:tc>
          <w:tcPr>
            <w:tcW w:w="2842" w:type="dxa"/>
            <w:vAlign w:val="center"/>
          </w:tcPr>
          <w:p w14:paraId="17AD3A10">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授课时充分运用现代化音像手段，在教学过程中播放图片、音频和视频等资料，做到直观、形象、深刻；在审美实践环节可根据条件适当安排观赏演出、参观展览、分析文学或影视作品等活动，使课堂教学上的理论讲授能通过学生的审美实践得到进一步的理解和掌握；另外要鼓励学生课下善于发现美、课上积极交流美，并给学生提供创造美和展示美的平台</w:t>
            </w:r>
          </w:p>
        </w:tc>
      </w:tr>
      <w:tr w14:paraId="1F414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20845A1B">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23</w:t>
            </w:r>
          </w:p>
        </w:tc>
        <w:tc>
          <w:tcPr>
            <w:tcW w:w="1065" w:type="dxa"/>
            <w:vAlign w:val="center"/>
          </w:tcPr>
          <w:p w14:paraId="151CA98B">
            <w:pPr>
              <w:widowControl w:val="0"/>
              <w:kinsoku/>
              <w:autoSpaceDE/>
              <w:autoSpaceDN/>
              <w:adjustRightInd/>
              <w:spacing w:after="0" w:line="245" w:lineRule="auto"/>
              <w:jc w:val="center"/>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职业素养※</w:t>
            </w:r>
          </w:p>
        </w:tc>
        <w:tc>
          <w:tcPr>
            <w:tcW w:w="2256" w:type="dxa"/>
            <w:vAlign w:val="center"/>
          </w:tcPr>
          <w:p w14:paraId="523B5EAA">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1.掌握职业人文基础知识，理解职业通用能力在职业发展中的重要性，认识基本方法；</w:t>
            </w:r>
          </w:p>
          <w:p w14:paraId="0C59D2C1">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2.能通过系统学习提升交流沟通、团队协作、自我管理、社会适应性等职业通用能力；</w:t>
            </w:r>
            <w:r>
              <w:rPr>
                <w:rFonts w:hint="eastAsia" w:ascii="仿宋" w:hAnsi="仿宋" w:eastAsia="仿宋" w:cs="仿宋"/>
                <w:b w:val="0"/>
                <w:snapToGrid w:val="0"/>
                <w:color w:val="auto"/>
                <w:kern w:val="0"/>
                <w:sz w:val="18"/>
                <w:szCs w:val="18"/>
                <w:highlight w:val="none"/>
                <w:lang w:val="en-US" w:eastAsia="zh-CN" w:bidi="ar-SA"/>
              </w:rPr>
              <w:br w:type="textWrapping"/>
            </w:r>
            <w:r>
              <w:rPr>
                <w:rFonts w:hint="eastAsia" w:ascii="仿宋" w:hAnsi="仿宋" w:eastAsia="仿宋" w:cs="仿宋"/>
                <w:b w:val="0"/>
                <w:snapToGrid w:val="0"/>
                <w:color w:val="auto"/>
                <w:kern w:val="0"/>
                <w:sz w:val="18"/>
                <w:szCs w:val="18"/>
                <w:highlight w:val="none"/>
                <w:lang w:val="en-US" w:eastAsia="zh-CN" w:bidi="ar-SA"/>
              </w:rPr>
              <w:t>3.培养学生终身学习理念，帮助学生拥有良好的职业态度和职业热情</w:t>
            </w:r>
          </w:p>
        </w:tc>
        <w:tc>
          <w:tcPr>
            <w:tcW w:w="2950" w:type="dxa"/>
            <w:vAlign w:val="center"/>
          </w:tcPr>
          <w:p w14:paraId="546685D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概述职业价值观、职业道德、职业礼仪、职业沟通、职场协助、情绪沟通、时间管理等模块内容</w:t>
            </w:r>
          </w:p>
        </w:tc>
        <w:tc>
          <w:tcPr>
            <w:tcW w:w="2842" w:type="dxa"/>
            <w:vAlign w:val="center"/>
          </w:tcPr>
          <w:p w14:paraId="505B113F">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本课程理论与实践并重，侧重学生未来发展中可迁移技能的培养，讲授需结合案例分析、小组讨论、师生互动、角色扮演、社会调查等方法，针对学生的生涯发展需要，关注学生创新创业意识的培养，促成学生能力模型构建，助力学生就业、创业及个人生涯发展，培养学生的职场心态和综合技能、提高就业创业竞争力，促进学生从“校园人”向“职业人”转变</w:t>
            </w:r>
          </w:p>
        </w:tc>
      </w:tr>
      <w:tr w14:paraId="1DDBB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205219AD">
            <w:pPr>
              <w:widowControl w:val="0"/>
              <w:kinsoku/>
              <w:autoSpaceDE/>
              <w:autoSpaceDN/>
              <w:adjustRightInd/>
              <w:spacing w:after="0" w:line="245" w:lineRule="auto"/>
              <w:jc w:val="center"/>
              <w:textAlignment w:val="auto"/>
              <w:rPr>
                <w:rFonts w:hint="default" w:ascii="仿宋" w:hAnsi="仿宋" w:eastAsia="仿宋" w:cs="仿宋"/>
                <w:b w:val="0"/>
                <w:snapToGrid w:val="0"/>
                <w:color w:val="auto"/>
                <w:kern w:val="0"/>
                <w:sz w:val="18"/>
                <w:szCs w:val="18"/>
                <w:highlight w:val="none"/>
                <w:lang w:val="en-US" w:eastAsia="zh-CN" w:bidi="ar-SA"/>
              </w:rPr>
            </w:pPr>
            <w:bookmarkStart w:id="21" w:name="_Toc11926"/>
            <w:bookmarkStart w:id="22" w:name="_Toc11743"/>
            <w:r>
              <w:rPr>
                <w:rFonts w:hint="eastAsia" w:ascii="仿宋" w:hAnsi="仿宋" w:eastAsia="仿宋" w:cs="仿宋"/>
                <w:b w:val="0"/>
                <w:snapToGrid w:val="0"/>
                <w:color w:val="auto"/>
                <w:kern w:val="0"/>
                <w:sz w:val="18"/>
                <w:szCs w:val="18"/>
                <w:highlight w:val="none"/>
                <w:lang w:val="en-US" w:eastAsia="zh-CN" w:bidi="ar-SA"/>
              </w:rPr>
              <w:t>24</w:t>
            </w:r>
          </w:p>
        </w:tc>
        <w:tc>
          <w:tcPr>
            <w:tcW w:w="1065" w:type="dxa"/>
            <w:vAlign w:val="center"/>
          </w:tcPr>
          <w:p w14:paraId="304DC156">
            <w:pPr>
              <w:widowControl w:val="0"/>
              <w:kinsoku/>
              <w:autoSpaceDE/>
              <w:autoSpaceDN/>
              <w:adjustRightInd/>
              <w:spacing w:after="0" w:line="245" w:lineRule="auto"/>
              <w:jc w:val="center"/>
              <w:textAlignment w:val="auto"/>
              <w:rPr>
                <w:rFonts w:hint="default"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数智化※</w:t>
            </w:r>
          </w:p>
        </w:tc>
        <w:tc>
          <w:tcPr>
            <w:tcW w:w="2256" w:type="dxa"/>
            <w:vAlign w:val="center"/>
          </w:tcPr>
          <w:p w14:paraId="147E0D99">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本课程对标教育部教育数字化战略行动相关要求，面向全体非理工专业学生搭建数字素养基础框架。引导学生理解大数据、人工智能、云计算等数字技术核心逻辑，树立安全、规范、负责任的数智伦理观。培养学生运用数字化工具解决学习、生活与基础专业问题的实操能力，破除数字壁垒，消除数字盲区。同时引导学生认清数智时代社会变革趋势，兼具创新思维与风险辨别能力，成长为适配数字中国建设、具备基础数智素养的新时代复合型通用人才。</w:t>
            </w:r>
          </w:p>
        </w:tc>
        <w:tc>
          <w:tcPr>
            <w:tcW w:w="2950" w:type="dxa"/>
            <w:vAlign w:val="center"/>
          </w:tcPr>
          <w:p w14:paraId="6CA3FE88">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课程紧扣教育部提升全民数字素养指导文件划分四大模块。第一模块讲解数字中国、教育数字化政策与数智技术基础概念；第二模块实操数字化办公、信息检索、简易数据处理等实用工具；第三模块覆盖网络信息甄别、数据隐私保护、人工智能伦理与法律法规；第四模块结合各专业案例讲解数智技术行业应用、数字创新实践。教学兼顾理论通识与轻量化实操，弱化复杂编程，侧重通用应用，兼顾人文、经管、艺术等不同专业学生学习适配性。</w:t>
            </w:r>
          </w:p>
        </w:tc>
        <w:tc>
          <w:tcPr>
            <w:tcW w:w="2842" w:type="dxa"/>
            <w:vAlign w:val="center"/>
          </w:tcPr>
          <w:p w14:paraId="5BEE2FE5">
            <w:pPr>
              <w:widowControl w:val="0"/>
              <w:kinsoku/>
              <w:autoSpaceDE/>
              <w:autoSpaceDN/>
              <w:adjustRightInd/>
              <w:spacing w:after="0" w:line="245" w:lineRule="auto"/>
              <w:jc w:val="left"/>
              <w:textAlignment w:val="auto"/>
              <w:rPr>
                <w:rFonts w:hint="eastAsia" w:ascii="仿宋" w:hAnsi="仿宋" w:eastAsia="仿宋" w:cs="仿宋"/>
                <w:b w:val="0"/>
                <w:snapToGrid w:val="0"/>
                <w:color w:val="auto"/>
                <w:kern w:val="0"/>
                <w:sz w:val="18"/>
                <w:szCs w:val="18"/>
                <w:highlight w:val="none"/>
                <w:lang w:val="en-US" w:eastAsia="zh-CN" w:bidi="ar-SA"/>
              </w:rPr>
            </w:pPr>
            <w:r>
              <w:rPr>
                <w:rFonts w:hint="eastAsia" w:ascii="仿宋" w:hAnsi="仿宋" w:eastAsia="仿宋" w:cs="仿宋"/>
                <w:b w:val="0"/>
                <w:snapToGrid w:val="0"/>
                <w:color w:val="auto"/>
                <w:kern w:val="0"/>
                <w:sz w:val="18"/>
                <w:szCs w:val="18"/>
                <w:highlight w:val="none"/>
                <w:lang w:val="en-US" w:eastAsia="zh-CN" w:bidi="ar-SA"/>
              </w:rPr>
              <w:t>依据教育部通识课程建设规范落实教学管理要求，学生需全程完成线上微课、课堂实操、数字实践作业三类学习任务，熟练掌握基础数字工具，能独立完成信息核验与简单数据分析。严格落实数字素养考核标准，过程性评价占比不低于60%，引导学生自觉遵守网络法规，杜绝虚假信息传播，形成终身自主数字化学习的良好习惯。</w:t>
            </w:r>
          </w:p>
        </w:tc>
      </w:tr>
    </w:tbl>
    <w:p w14:paraId="2BB095C8">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r>
        <w:t>（二）专业课程</w:t>
      </w:r>
      <w:bookmarkEnd w:id="21"/>
      <w:bookmarkEnd w:id="22"/>
    </w:p>
    <w:p w14:paraId="72716687">
      <w:pPr>
        <w:pStyle w:val="5"/>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240" w:lineRule="auto"/>
        <w:ind w:firstLine="622" w:firstLineChars="200"/>
        <w:textAlignment w:val="baseline"/>
        <w:rPr>
          <w:b/>
          <w:bCs/>
          <w:spacing w:val="-3"/>
        </w:rPr>
      </w:pPr>
      <w:r>
        <w:rPr>
          <w:rFonts w:hint="eastAsia"/>
          <w:b/>
          <w:bCs/>
          <w:lang w:val="en-US" w:eastAsia="zh-CN"/>
        </w:rPr>
        <w:t>1.专业基础课</w:t>
      </w:r>
    </w:p>
    <w:p w14:paraId="201F6A0A">
      <w:pPr>
        <w:spacing w:line="38" w:lineRule="auto"/>
        <w:rPr>
          <w:rFonts w:ascii="Arial"/>
          <w:sz w:val="2"/>
        </w:rPr>
      </w:pPr>
    </w:p>
    <w:p w14:paraId="146E4D9F">
      <w:pPr>
        <w:spacing w:line="38" w:lineRule="auto"/>
        <w:rPr>
          <w:rFonts w:ascii="Arial"/>
          <w:sz w:val="2"/>
        </w:rPr>
      </w:pPr>
    </w:p>
    <w:tbl>
      <w:tblPr>
        <w:tblStyle w:val="14"/>
        <w:tblW w:w="97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2256"/>
        <w:gridCol w:w="2959"/>
        <w:gridCol w:w="2825"/>
      </w:tblGrid>
      <w:tr w14:paraId="63D71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1D043E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67F47C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2256" w:type="dxa"/>
            <w:vAlign w:val="center"/>
          </w:tcPr>
          <w:p w14:paraId="2CF797A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959" w:type="dxa"/>
            <w:vAlign w:val="center"/>
          </w:tcPr>
          <w:p w14:paraId="262F99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2825" w:type="dxa"/>
            <w:vAlign w:val="center"/>
          </w:tcPr>
          <w:p w14:paraId="0071C0C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0D63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39749692">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2</w:t>
            </w:r>
            <w:r>
              <w:rPr>
                <w:rFonts w:hint="eastAsia" w:ascii="Times New Roman" w:hAnsi="Times New Roman" w:eastAsia="仿宋" w:cs="Times New Roman"/>
                <w:b w:val="0"/>
                <w:snapToGrid/>
                <w:kern w:val="2"/>
                <w:sz w:val="21"/>
                <w:szCs w:val="21"/>
                <w:lang w:val="en-US" w:eastAsia="zh-CN"/>
                <w14:ligatures w14:val="standardContextual"/>
              </w:rPr>
              <w:t>5</w:t>
            </w:r>
          </w:p>
        </w:tc>
        <w:tc>
          <w:tcPr>
            <w:tcW w:w="1065" w:type="dxa"/>
            <w:shd w:val="clear" w:color="auto" w:fill="auto"/>
            <w:vAlign w:val="center"/>
          </w:tcPr>
          <w:p w14:paraId="7454496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人体解剖学与组织胚胎学</w:t>
            </w:r>
          </w:p>
        </w:tc>
        <w:tc>
          <w:tcPr>
            <w:tcW w:w="2256" w:type="dxa"/>
            <w:shd w:val="clear" w:color="auto" w:fill="auto"/>
            <w:vAlign w:val="center"/>
          </w:tcPr>
          <w:p w14:paraId="775F3AB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1.知识目标：掌握正常人体各系统的组成、主要器官的形态结构、位置与毗邻；理解结构与功能的关系，了解胚胎早期发生、胎盘胎膜、各主要器官系统的发生过程</w:t>
            </w:r>
          </w:p>
          <w:p w14:paraId="32A9B61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2.能力目标：能正确运用解剖学术语描述人体各组成部分的位置、毗邻与形态结构，运用所学知识分析和解释相关临床问题</w:t>
            </w:r>
          </w:p>
          <w:p w14:paraId="7F320C37">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3.素质目标：培养学生关爱生命、关注健康和关注疾病的意识，善于观察与分析、严谨求实的工作态度</w:t>
            </w:r>
          </w:p>
        </w:tc>
        <w:tc>
          <w:tcPr>
            <w:tcW w:w="2959" w:type="dxa"/>
            <w:shd w:val="clear" w:color="auto" w:fill="auto"/>
            <w:vAlign w:val="center"/>
          </w:tcPr>
          <w:p w14:paraId="287F227F">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系统解剖学与组织胚胎学概述，人体基本组织；运动系统、消化系统、呼吸系统、泌尿系统、生殖系统、脉管系统、神经系统、内分泌系统的器官组成、形态、大体结构、毗邻关系及组织结构；人体胚胎发育分期及基本过程</w:t>
            </w:r>
          </w:p>
        </w:tc>
        <w:tc>
          <w:tcPr>
            <w:tcW w:w="2825" w:type="dxa"/>
            <w:shd w:val="clear" w:color="auto" w:fill="auto"/>
            <w:vAlign w:val="center"/>
          </w:tcPr>
          <w:p w14:paraId="117874DE">
            <w:pPr>
              <w:overflowPunct w:val="0"/>
              <w:spacing w:line="240" w:lineRule="auto"/>
              <w:jc w:val="both"/>
              <w:rPr>
                <w:rFonts w:hint="eastAsia" w:ascii="仿宋" w:hAnsi="仿宋" w:eastAsia="仿宋" w:cs="仿宋"/>
                <w:b w:val="0"/>
                <w:color w:val="auto"/>
                <w:kern w:val="0"/>
                <w:sz w:val="18"/>
                <w:szCs w:val="18"/>
                <w:highlight w:val="none"/>
                <w:lang w:eastAsia="zh-CN"/>
              </w:rPr>
            </w:pPr>
          </w:p>
          <w:p w14:paraId="5B6D39E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1+X证书/竞赛及相关教学内容</w:t>
            </w:r>
          </w:p>
          <w:p w14:paraId="65EABF4C">
            <w:pPr>
              <w:overflowPunct w:val="0"/>
              <w:spacing w:line="240" w:lineRule="auto"/>
              <w:jc w:val="both"/>
              <w:rPr>
                <w:rFonts w:hint="eastAsia" w:ascii="仿宋" w:hAnsi="仿宋" w:eastAsia="仿宋" w:cs="仿宋"/>
                <w:b w:val="0"/>
                <w:color w:val="auto"/>
                <w:kern w:val="0"/>
                <w:sz w:val="18"/>
                <w:szCs w:val="18"/>
                <w:highlight w:val="none"/>
                <w:lang w:eastAsia="zh-CN"/>
              </w:rPr>
            </w:pPr>
          </w:p>
          <w:p w14:paraId="2D75194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7CA3982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教学内容：人体的正常结构和功能；临床医学相关的基础知识和科学方法，并能用于指导未来的学习和医学实践</w:t>
            </w:r>
          </w:p>
          <w:p w14:paraId="387F4ED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2.高校医药卫生类形态学读片与人体解剖标本辨识大赛</w:t>
            </w:r>
          </w:p>
          <w:p w14:paraId="59B0DEAF">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教学内容：人体解剖结构和组织结构的辨识</w:t>
            </w:r>
          </w:p>
        </w:tc>
      </w:tr>
      <w:tr w14:paraId="6B0AF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68CB4899">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2</w:t>
            </w:r>
            <w:r>
              <w:rPr>
                <w:rFonts w:hint="eastAsia" w:ascii="Times New Roman" w:hAnsi="Times New Roman" w:eastAsia="仿宋" w:cs="Times New Roman"/>
                <w:b w:val="0"/>
                <w:snapToGrid/>
                <w:kern w:val="2"/>
                <w:sz w:val="21"/>
                <w:szCs w:val="21"/>
                <w:lang w:val="en-US" w:eastAsia="zh-CN"/>
                <w14:ligatures w14:val="standardContextual"/>
              </w:rPr>
              <w:t>6</w:t>
            </w:r>
          </w:p>
        </w:tc>
        <w:tc>
          <w:tcPr>
            <w:tcW w:w="1065" w:type="dxa"/>
            <w:shd w:val="clear" w:color="auto" w:fill="auto"/>
            <w:vAlign w:val="center"/>
          </w:tcPr>
          <w:p w14:paraId="4D0130E6">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生理学</w:t>
            </w:r>
          </w:p>
        </w:tc>
        <w:tc>
          <w:tcPr>
            <w:tcW w:w="2256" w:type="dxa"/>
            <w:shd w:val="clear" w:color="auto" w:fill="auto"/>
            <w:vAlign w:val="center"/>
          </w:tcPr>
          <w:p w14:paraId="5A3A211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1.知识目标：掌握生理学的基本概念、人体功能活动发生的基本过程、发生机制、影响因素以及人体功能的调节</w:t>
            </w:r>
          </w:p>
          <w:p w14:paraId="6F76C5F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2.能力目标：能理解人体的各种生理功能以及内外环境变化对人体功能的影响，解释正常生命活动与疾病发生、发展及治疗的联系</w:t>
            </w:r>
          </w:p>
          <w:p w14:paraId="361E81D7">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3.素质目标：培养学生关注生命、珍爱生命和增进健康的意识</w:t>
            </w:r>
          </w:p>
        </w:tc>
        <w:tc>
          <w:tcPr>
            <w:tcW w:w="2959" w:type="dxa"/>
            <w:shd w:val="clear" w:color="auto" w:fill="auto"/>
            <w:vAlign w:val="center"/>
          </w:tcPr>
          <w:p w14:paraId="59AE838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生理学概述，生命的基本特征，机体与环境，人体功能活动的调节；细胞的基本功能，细胞的生物电现象，肌肉收缩；血液、血液循环、呼吸、消化与吸收、能量代谢与体温、肾脏的排泄、神经生理、感官生理、内分泌生理以及生殖生理</w:t>
            </w:r>
          </w:p>
        </w:tc>
        <w:tc>
          <w:tcPr>
            <w:tcW w:w="2825" w:type="dxa"/>
            <w:shd w:val="clear" w:color="auto" w:fill="auto"/>
            <w:vAlign w:val="center"/>
          </w:tcPr>
          <w:p w14:paraId="1AF3E65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2E2C0F4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教学内容：临床医学相关的基础知识和科学方法，并能用于指导未来的学习和医学实践</w:t>
            </w:r>
          </w:p>
          <w:p w14:paraId="0E2D5FF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2.高校医药卫生类机能学实验大赛</w:t>
            </w:r>
          </w:p>
          <w:p w14:paraId="6358BC04">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教学内容：动物实验手术操作、动物实验观察和结果分析</w:t>
            </w:r>
          </w:p>
        </w:tc>
      </w:tr>
      <w:tr w14:paraId="0DFD5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shd w:val="clear" w:color="auto" w:fill="auto"/>
            <w:vAlign w:val="center"/>
          </w:tcPr>
          <w:p w14:paraId="729184AB">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2</w:t>
            </w:r>
            <w:r>
              <w:rPr>
                <w:rFonts w:hint="eastAsia" w:ascii="Times New Roman" w:hAnsi="Times New Roman" w:eastAsia="仿宋" w:cs="Times New Roman"/>
                <w:b w:val="0"/>
                <w:snapToGrid/>
                <w:kern w:val="2"/>
                <w:sz w:val="21"/>
                <w:szCs w:val="21"/>
                <w:lang w:val="en-US" w:eastAsia="zh-CN"/>
                <w14:ligatures w14:val="standardContextual"/>
              </w:rPr>
              <w:t>7</w:t>
            </w:r>
          </w:p>
        </w:tc>
        <w:tc>
          <w:tcPr>
            <w:tcW w:w="1065" w:type="dxa"/>
            <w:shd w:val="clear" w:color="auto" w:fill="auto"/>
            <w:vAlign w:val="center"/>
          </w:tcPr>
          <w:p w14:paraId="43C7D91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生物化学</w:t>
            </w:r>
          </w:p>
        </w:tc>
        <w:tc>
          <w:tcPr>
            <w:tcW w:w="2256" w:type="dxa"/>
            <w:shd w:val="clear" w:color="auto" w:fill="auto"/>
            <w:vAlign w:val="center"/>
          </w:tcPr>
          <w:p w14:paraId="60F407CC">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1.知识目标：通过本课程的学习，掌握生物分子的结构与功能、经典的物质代谢途径的基础上，学好分子生物学的基本知识，着重联系生命现象及临床医学特点，为将来从事临床诊疗工作打下坚实的基础</w:t>
            </w:r>
          </w:p>
          <w:p w14:paraId="423DCA0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技能目标：能初步运用生化知识在分子水平上探讨病因、理解发病机理及制定疾病防治措施；能测定常用临床生化项目，并能初步分析其对临床疾病的诊断意义，为临床专业课学习及诊疗技术操作奠定良好的基础；形成数字化（含互联网加）医疗服务实践能力</w:t>
            </w:r>
          </w:p>
          <w:p w14:paraId="4EC4B246">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培养学生从微观到宏观、从正常到异常的学习思辨能力，认识生命现象的本质及其基本规律；培养学生主动了解基础医学发展的新动向，鼓励和培养其自主学习能力，牢固树立终身学习的理念；培养学生严谨的科研思维和创新精神；培养学生将基础医学与临床医学相结合，重视以转化医学为目标的学习，为后续课程的学习和临床实践奠定坚实的基础</w:t>
            </w:r>
          </w:p>
        </w:tc>
        <w:tc>
          <w:tcPr>
            <w:tcW w:w="2959" w:type="dxa"/>
            <w:shd w:val="clear" w:color="auto" w:fill="auto"/>
            <w:vAlign w:val="center"/>
          </w:tcPr>
          <w:p w14:paraId="5F2D1DE5">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蛋白质、核酸等生物大分子的结构与功能；糖、脂类、蛋白质等物质的代谢及能量代谢；遗传信息的传递与表达及常用分子生物学技术；临床常见疾病分子水平的病因及治疗认知等</w:t>
            </w:r>
          </w:p>
        </w:tc>
        <w:tc>
          <w:tcPr>
            <w:tcW w:w="2825" w:type="dxa"/>
            <w:shd w:val="clear" w:color="auto" w:fill="auto"/>
            <w:vAlign w:val="center"/>
          </w:tcPr>
          <w:p w14:paraId="03024A7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3B3A8D40">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教学内容：临床医学相关的基础知识和科学方法，并能用于指导未来的学习和医学实践</w:t>
            </w:r>
          </w:p>
        </w:tc>
      </w:tr>
      <w:tr w14:paraId="7622D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shd w:val="clear" w:color="auto" w:fill="auto"/>
            <w:vAlign w:val="center"/>
          </w:tcPr>
          <w:p w14:paraId="6FA06B11">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2</w:t>
            </w:r>
            <w:r>
              <w:rPr>
                <w:rFonts w:hint="eastAsia" w:ascii="Times New Roman" w:hAnsi="Times New Roman" w:eastAsia="仿宋" w:cs="Times New Roman"/>
                <w:b w:val="0"/>
                <w:snapToGrid/>
                <w:kern w:val="2"/>
                <w:sz w:val="21"/>
                <w:szCs w:val="21"/>
                <w:lang w:val="en-US" w:eastAsia="zh-CN"/>
                <w14:ligatures w14:val="standardContextual"/>
              </w:rPr>
              <w:t>8</w:t>
            </w:r>
          </w:p>
        </w:tc>
        <w:tc>
          <w:tcPr>
            <w:tcW w:w="1065" w:type="dxa"/>
            <w:shd w:val="clear" w:color="auto" w:fill="auto"/>
            <w:vAlign w:val="center"/>
          </w:tcPr>
          <w:p w14:paraId="2FAB3C97">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病原生物学与免疫学</w:t>
            </w:r>
          </w:p>
        </w:tc>
        <w:tc>
          <w:tcPr>
            <w:tcW w:w="2256" w:type="dxa"/>
            <w:shd w:val="clear" w:color="auto" w:fill="auto"/>
            <w:vAlign w:val="center"/>
          </w:tcPr>
          <w:p w14:paraId="09D4F399">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1.知识目标：通过对免疫学基本理论与知识的学习，能正确理解掌握临床常见的免疫现象、免疫相关疾病的发病机制以及免疫学知识在疾病的诊断、预防和治疗中的应用，为从事临床工作打下必要的基础</w:t>
            </w:r>
          </w:p>
          <w:p w14:paraId="34C8566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2.能力目标：通过对病原生物学基本理论与知识的学习，能正确理解和掌握临床常见病原微生物和寄生虫的主要生物学特性、致病性、病原学检测方法及防治原则</w:t>
            </w:r>
          </w:p>
          <w:p w14:paraId="4E7B96DB">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3.素质目标：树立无菌观念和生物安全意识，为临床感染性疾病的诊断与防治奠定必要的专业基础</w:t>
            </w:r>
          </w:p>
        </w:tc>
        <w:tc>
          <w:tcPr>
            <w:tcW w:w="2959" w:type="dxa"/>
            <w:shd w:val="clear" w:color="auto" w:fill="auto"/>
            <w:vAlign w:val="center"/>
          </w:tcPr>
          <w:p w14:paraId="765368F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免疫系统的组成与功能，免疫应答发生与发展的规律，免疫相关疾病的发病机制，免疫学理论在疾病诊断及防治中的应用</w:t>
            </w:r>
          </w:p>
          <w:p w14:paraId="20B780E1">
            <w:pPr>
              <w:overflowPunct w:val="0"/>
              <w:spacing w:line="240" w:lineRule="auto"/>
              <w:jc w:val="both"/>
              <w:rPr>
                <w:rFonts w:hint="eastAsia" w:ascii="仿宋" w:hAnsi="仿宋" w:eastAsia="仿宋" w:cs="仿宋"/>
                <w:b w:val="0"/>
                <w:color w:val="auto"/>
                <w:kern w:val="0"/>
                <w:sz w:val="18"/>
                <w:szCs w:val="18"/>
                <w:highlight w:val="none"/>
                <w:lang w:eastAsia="zh-CN"/>
              </w:rPr>
            </w:pPr>
          </w:p>
          <w:p w14:paraId="0254282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常见病原微生物和医学寄生虫的生物学特性、致病性与免疫性，以及相关感染性疾病的病原学检测方法及防治原则</w:t>
            </w:r>
          </w:p>
        </w:tc>
        <w:tc>
          <w:tcPr>
            <w:tcW w:w="2825" w:type="dxa"/>
            <w:shd w:val="clear" w:color="auto" w:fill="auto"/>
            <w:vAlign w:val="center"/>
          </w:tcPr>
          <w:p w14:paraId="6D366FB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高等医学院校大学生形态学读片和人体解剖标本辨识技能大赛（寄生虫学、病原微生物学赛道）</w:t>
            </w:r>
          </w:p>
          <w:p w14:paraId="158A6997">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教学内容：常见病原微生物（包括细菌学和真菌学）和医学寄生虫的生物学特性、致病性、免疫性，以及相关感染性疾病的病原学检测方法及防治原则</w:t>
            </w:r>
          </w:p>
        </w:tc>
      </w:tr>
      <w:tr w14:paraId="396C8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shd w:val="clear" w:color="auto" w:fill="auto"/>
            <w:vAlign w:val="center"/>
          </w:tcPr>
          <w:p w14:paraId="27D2CB2E">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2</w:t>
            </w:r>
            <w:r>
              <w:rPr>
                <w:rFonts w:hint="eastAsia" w:ascii="Times New Roman" w:hAnsi="Times New Roman" w:eastAsia="仿宋" w:cs="Times New Roman"/>
                <w:b w:val="0"/>
                <w:snapToGrid/>
                <w:kern w:val="2"/>
                <w:sz w:val="21"/>
                <w:szCs w:val="21"/>
                <w:lang w:val="en-US" w:eastAsia="zh-CN"/>
                <w14:ligatures w14:val="standardContextual"/>
              </w:rPr>
              <w:t>9</w:t>
            </w:r>
          </w:p>
        </w:tc>
        <w:tc>
          <w:tcPr>
            <w:tcW w:w="1065" w:type="dxa"/>
            <w:shd w:val="clear" w:color="auto" w:fill="auto"/>
            <w:vAlign w:val="center"/>
          </w:tcPr>
          <w:p w14:paraId="414AA98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病理学与病理生理学</w:t>
            </w:r>
          </w:p>
        </w:tc>
        <w:tc>
          <w:tcPr>
            <w:tcW w:w="2256" w:type="dxa"/>
            <w:shd w:val="clear" w:color="auto" w:fill="auto"/>
            <w:vAlign w:val="center"/>
          </w:tcPr>
          <w:p w14:paraId="4FD4AF7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1.知识目标：掌握病理学与病理生理学的基本概念、基本病理过程，掌握各系统常见疾病的基本病理变化及病理临床联系</w:t>
            </w:r>
          </w:p>
          <w:p w14:paraId="3F16B3E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2.能力目标：能够观察、分析和解释临床常见疾病的临床表现，应用所学病理学知识分析和解释临床相关问题</w:t>
            </w:r>
          </w:p>
          <w:p w14:paraId="4F3B6E24">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3.素质目标：培养学生关爱生命、关注健康和关注疾病的意识，善于观察与分析、严谨求实的工作态度</w:t>
            </w:r>
          </w:p>
        </w:tc>
        <w:tc>
          <w:tcPr>
            <w:tcW w:w="2959" w:type="dxa"/>
            <w:shd w:val="clear" w:color="auto" w:fill="auto"/>
            <w:vAlign w:val="center"/>
          </w:tcPr>
          <w:p w14:paraId="743446AB">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病理学与病理生理学概述，病理学总论（组织细胞的适应、损伤与修复，局部血液循环障碍，炎症，肿瘤）和各论（循环、泌尿、消化、呼吸系统常见疾病及常见传染病的病因、发病机制、病理变化及病理临床联系）；常见病理过程（水电解质平衡紊乱、酸碱平衡紊乱、发热、缺氧、休克与DIC、重要器官功能衰竭）的发生原因、代偿机制、对机体功能及代谢的影响</w:t>
            </w:r>
          </w:p>
        </w:tc>
        <w:tc>
          <w:tcPr>
            <w:tcW w:w="2825" w:type="dxa"/>
            <w:shd w:val="clear" w:color="auto" w:fill="auto"/>
            <w:vAlign w:val="center"/>
          </w:tcPr>
          <w:p w14:paraId="4DED1BB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30F46E9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教学内容：临床医学相关的基础知识和科学方法，并能用于指导未来的学习和医学实践</w:t>
            </w:r>
          </w:p>
          <w:p w14:paraId="5702501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2.高校医药卫生类形态学读片与人体解剖标本辨识大赛</w:t>
            </w:r>
          </w:p>
          <w:p w14:paraId="179E9196">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教学内容：病理大体标本和病理切片的辨识</w:t>
            </w:r>
          </w:p>
        </w:tc>
      </w:tr>
      <w:tr w14:paraId="00A7C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shd w:val="clear" w:color="auto" w:fill="auto"/>
            <w:vAlign w:val="center"/>
          </w:tcPr>
          <w:p w14:paraId="5503E322">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val="en-US" w:eastAsia="zh-CN"/>
                <w14:ligatures w14:val="standardContextual"/>
              </w:rPr>
              <w:t>30</w:t>
            </w:r>
          </w:p>
        </w:tc>
        <w:tc>
          <w:tcPr>
            <w:tcW w:w="1065" w:type="dxa"/>
            <w:shd w:val="clear" w:color="auto" w:fill="auto"/>
            <w:vAlign w:val="center"/>
          </w:tcPr>
          <w:p w14:paraId="21D31F6C">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药理学</w:t>
            </w:r>
          </w:p>
        </w:tc>
        <w:tc>
          <w:tcPr>
            <w:tcW w:w="2256" w:type="dxa"/>
            <w:shd w:val="clear" w:color="auto" w:fill="auto"/>
            <w:vAlign w:val="center"/>
          </w:tcPr>
          <w:p w14:paraId="4F47E29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药理学的基本概念、常用术语及各类代表药物的作用和用途、不良反应与注意事项等基本理论知识和技能，为学习临床专业课程知识和将来临床合理应用奠定基础。熟悉药物的主要作用机制及药物的相互作用和各类常用药物的基本知识。了解各类相关药物的作用特点及影响药物效应的因素</w:t>
            </w:r>
          </w:p>
          <w:p w14:paraId="7CDF8BA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2.能力目标：熟练掌握药理实验基本操作方法；能正确观察、记录、分析实验结果，规范书写实验报告和开写处方；具备合理用药和常用制剂质量外观检查的能力</w:t>
            </w:r>
          </w:p>
          <w:p w14:paraId="0ACA0646">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3.素质目标：具有高尚的医疗道德和良好的职业素质；强化预防观念、防止滥用药物；具备一定的用药知识宣教能力；</w:t>
            </w:r>
          </w:p>
        </w:tc>
        <w:tc>
          <w:tcPr>
            <w:tcW w:w="2959" w:type="dxa"/>
            <w:shd w:val="clear" w:color="auto" w:fill="auto"/>
            <w:vAlign w:val="center"/>
          </w:tcPr>
          <w:p w14:paraId="61C31A43">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药动学和药效学基本概念、基本理论、影响因素及临床意义；中枢神经系统药物、传出神经系统药物、心血管系统药物、内脏系统药物、内分泌系统药物、化学治疗等各类代表药物的药动学特点、药理作用及作用机制、临床应用、用法、不良反应、注意事项及药物的合理应用原则。</w:t>
            </w:r>
          </w:p>
        </w:tc>
        <w:tc>
          <w:tcPr>
            <w:tcW w:w="2825" w:type="dxa"/>
            <w:shd w:val="clear" w:color="auto" w:fill="auto"/>
            <w:vAlign w:val="center"/>
          </w:tcPr>
          <w:p w14:paraId="5946F1B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4B5D2D12">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教学内容：基本的药理知识及临床合理用药原则</w:t>
            </w:r>
          </w:p>
        </w:tc>
      </w:tr>
      <w:tr w14:paraId="61245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shd w:val="clear" w:color="auto" w:fill="auto"/>
            <w:vAlign w:val="center"/>
          </w:tcPr>
          <w:p w14:paraId="59152377">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1</w:t>
            </w:r>
          </w:p>
        </w:tc>
        <w:tc>
          <w:tcPr>
            <w:tcW w:w="1065" w:type="dxa"/>
            <w:shd w:val="clear" w:color="auto" w:fill="auto"/>
            <w:vAlign w:val="center"/>
          </w:tcPr>
          <w:p w14:paraId="482A899B">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预防医学</w:t>
            </w:r>
          </w:p>
        </w:tc>
        <w:tc>
          <w:tcPr>
            <w:tcW w:w="2256" w:type="dxa"/>
            <w:shd w:val="clear" w:color="auto" w:fill="auto"/>
            <w:vAlign w:val="center"/>
          </w:tcPr>
          <w:p w14:paraId="005BD22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1.知识目标：掌握预防疾病，促进健康的基本知识和技能</w:t>
            </w:r>
          </w:p>
          <w:p w14:paraId="07EC7AB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2.能力目标：学生学会运用卫生学、医学统计学、流行病学等科学原理和方法，研究环境因素对人群健康与疾病的影响</w:t>
            </w:r>
          </w:p>
          <w:p w14:paraId="55048C6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3.素质目标：培养学生的基层卫生服务能力</w:t>
            </w:r>
          </w:p>
        </w:tc>
        <w:tc>
          <w:tcPr>
            <w:tcW w:w="2959" w:type="dxa"/>
            <w:shd w:val="clear" w:color="auto" w:fill="auto"/>
            <w:vAlign w:val="center"/>
          </w:tcPr>
          <w:p w14:paraId="1CE45E47">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自然和社会等环境因素对人群健康的影响作用及改善措施；食品卫生与营养学基本知识和技能；流行病学基本原理及方法；统计学基本概念和方法；个体与人群健康状况的测量和评价等</w:t>
            </w:r>
          </w:p>
        </w:tc>
        <w:tc>
          <w:tcPr>
            <w:tcW w:w="2825" w:type="dxa"/>
            <w:shd w:val="clear" w:color="auto" w:fill="auto"/>
            <w:vAlign w:val="center"/>
          </w:tcPr>
          <w:p w14:paraId="119DA391">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1.执业助理医师资格考试教学内容：临床医师工作中必须掌握的基本理论和方法、临床预防服务和人群健康管理理论和技能，在临床环境下适宜地开展以人为中心、家庭为单位、社区为导向的预防保健服务</w:t>
            </w:r>
          </w:p>
        </w:tc>
      </w:tr>
      <w:tr w14:paraId="2D847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shd w:val="clear" w:color="auto" w:fill="auto"/>
            <w:vAlign w:val="center"/>
          </w:tcPr>
          <w:p w14:paraId="265FCC55">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2</w:t>
            </w:r>
          </w:p>
        </w:tc>
        <w:tc>
          <w:tcPr>
            <w:tcW w:w="1065" w:type="dxa"/>
            <w:shd w:val="clear" w:color="auto" w:fill="auto"/>
            <w:vAlign w:val="center"/>
          </w:tcPr>
          <w:p w14:paraId="5181726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医学心理学</w:t>
            </w:r>
          </w:p>
        </w:tc>
        <w:tc>
          <w:tcPr>
            <w:tcW w:w="2256" w:type="dxa"/>
            <w:shd w:val="clear" w:color="auto" w:fill="auto"/>
            <w:vAlign w:val="center"/>
          </w:tcPr>
          <w:p w14:paraId="4D60DD1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通过本课程学习使学生适应医学模式的转变，建立对人的整体观，新的健康，疾病观和现代医学观，认识心理因素与人类健康，疾病康复的关系，正确理解机体与环境，内因与外因局部与整体，情绪与健康，心理因素与疾病的辩证关系，明确各种心理，社会因素所致疾病产生，发展、诊断和治疗</w:t>
            </w:r>
          </w:p>
          <w:p w14:paraId="68511FA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把学到的医学心理学的理论知识和技术应用于临床，辩证地分析与解决临床医疗实践中病人的心理与行为问题，能应用心理卫生知识对各种不同的个体、群体实施心理卫生宣传教育，并培养学生心理诊断、心理咨询的能力，更有效地服务于病人</w:t>
            </w:r>
          </w:p>
          <w:p w14:paraId="19AB8160">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3.素质目标：通过学习使学生具有健全的人格，良好的职业心理素质和职业责任感，职业意识与职业情感</w:t>
            </w:r>
          </w:p>
        </w:tc>
        <w:tc>
          <w:tcPr>
            <w:tcW w:w="2959" w:type="dxa"/>
            <w:shd w:val="clear" w:color="auto" w:fill="auto"/>
            <w:vAlign w:val="center"/>
          </w:tcPr>
          <w:p w14:paraId="0553AC13">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心理学基础知识、心理社会因素与健康、心理应激与心身疾病、心理障碍、心理评估、心理咨询、心理治疗、病人心理等；心理因素与疾病、健康的关系，心理社会因素所致疾病的产生、发展、诊断和治疗，心理诊断、心理咨询与心理治疗的基本技能</w:t>
            </w:r>
          </w:p>
        </w:tc>
        <w:tc>
          <w:tcPr>
            <w:tcW w:w="2825" w:type="dxa"/>
            <w:shd w:val="clear" w:color="auto" w:fill="auto"/>
            <w:vAlign w:val="center"/>
          </w:tcPr>
          <w:p w14:paraId="22EB0A99">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243B53D1">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教学内容：医学心理学总论、医生个人的心理能力、心理健康、心理应激与心身疾病、心理评估、心理治疗与心理咨询、医患关系与医患沟通、患者的心理问题</w:t>
            </w:r>
          </w:p>
        </w:tc>
      </w:tr>
    </w:tbl>
    <w:p w14:paraId="19811F5B">
      <w:pPr>
        <w:pStyle w:val="5"/>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240" w:lineRule="auto"/>
        <w:ind w:firstLine="622" w:firstLineChars="200"/>
        <w:textAlignment w:val="baseline"/>
        <w:rPr>
          <w:b/>
          <w:bCs/>
        </w:rPr>
      </w:pPr>
      <w:r>
        <w:rPr>
          <w:rFonts w:hint="eastAsia"/>
          <w:b/>
          <w:bCs/>
          <w:lang w:val="en-US" w:eastAsia="zh-CN"/>
        </w:rPr>
        <w:t>2.</w:t>
      </w:r>
      <w:r>
        <w:rPr>
          <w:b/>
          <w:bCs/>
        </w:rPr>
        <w:t>专业核心课</w:t>
      </w:r>
    </w:p>
    <w:tbl>
      <w:tblPr>
        <w:tblStyle w:val="14"/>
        <w:tblW w:w="97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2256"/>
        <w:gridCol w:w="2959"/>
        <w:gridCol w:w="2833"/>
      </w:tblGrid>
      <w:tr w14:paraId="346C5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0E94271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4D63F3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2256" w:type="dxa"/>
            <w:vAlign w:val="center"/>
          </w:tcPr>
          <w:p w14:paraId="342FBD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959" w:type="dxa"/>
            <w:vAlign w:val="center"/>
          </w:tcPr>
          <w:p w14:paraId="275DD8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2833" w:type="dxa"/>
            <w:vAlign w:val="center"/>
          </w:tcPr>
          <w:p w14:paraId="5122DC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7E60D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1A75C072">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3</w:t>
            </w:r>
          </w:p>
        </w:tc>
        <w:tc>
          <w:tcPr>
            <w:tcW w:w="1065" w:type="dxa"/>
            <w:vAlign w:val="center"/>
          </w:tcPr>
          <w:p w14:paraId="40DF4C61">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诊断学</w:t>
            </w:r>
          </w:p>
        </w:tc>
        <w:tc>
          <w:tcPr>
            <w:tcW w:w="2256" w:type="dxa"/>
            <w:vAlign w:val="top"/>
          </w:tcPr>
          <w:p w14:paraId="6F54ED1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1.知识目标：能应用诊断学的基本理论，基本知识，基本技能进行正确的临床思维，对疾病诊断提出初步诊断；熟悉实验诊断、医学影像诊断、器械检查等辅助诊断技术；掌握采集病史和进行体检的正确方法</w:t>
            </w:r>
          </w:p>
          <w:p w14:paraId="1A47D5C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2.能力目标：将问诊和体格检查资料进行系统的整理，写出格式正确，符合要求的完整病历</w:t>
            </w:r>
          </w:p>
          <w:p w14:paraId="18B70B4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3.素质目标：培养科学的思维方法和独立分析问题的能力；培养细心、耐心、关心病人的医学职业素养，树立全心全意为人民服务的思想</w:t>
            </w:r>
          </w:p>
        </w:tc>
        <w:tc>
          <w:tcPr>
            <w:tcW w:w="2959" w:type="dxa"/>
            <w:vAlign w:val="top"/>
          </w:tcPr>
          <w:p w14:paraId="3C1741B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常见症状、问诊、检体诊断、实验室诊断、医学影像诊断、器械诊断和其他诊疗技术、临床思维和医学文书基础知识</w:t>
            </w:r>
          </w:p>
        </w:tc>
        <w:tc>
          <w:tcPr>
            <w:tcW w:w="2833" w:type="dxa"/>
            <w:vAlign w:val="top"/>
          </w:tcPr>
          <w:p w14:paraId="3EDCF1CE">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0789CF1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2.全国职业院校技能大赛</w:t>
            </w:r>
          </w:p>
          <w:p w14:paraId="7C5E74D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临床医学基本知识、基本理论和基本技能以及医学人文素养，学习系统问诊、全面、系统、正确地采集病史，系统、规范、准确地进行体格检查及常用辅助检查结果分析等临床诊断基本技能，规范地书写病历</w:t>
            </w:r>
          </w:p>
        </w:tc>
      </w:tr>
      <w:tr w14:paraId="4150A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7CCF7219">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4</w:t>
            </w:r>
          </w:p>
        </w:tc>
        <w:tc>
          <w:tcPr>
            <w:tcW w:w="1065" w:type="dxa"/>
            <w:shd w:val="clear" w:color="auto" w:fill="auto"/>
            <w:vAlign w:val="center"/>
          </w:tcPr>
          <w:p w14:paraId="168CC495">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内科学</w:t>
            </w:r>
          </w:p>
        </w:tc>
        <w:tc>
          <w:tcPr>
            <w:tcW w:w="2256" w:type="dxa"/>
            <w:shd w:val="clear" w:color="auto" w:fill="auto"/>
            <w:vAlign w:val="top"/>
          </w:tcPr>
          <w:p w14:paraId="7E7C742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内科常见病及多发病的临床表现、诊断标准、治疗原则和预防措施；内科常见急危重症的临床表现、初步处理。熟悉内科常见病及多发病的辅助检查和鉴别诊断；内科常见急危重症的转院要求。了解内科常见病及多发病的病因和发病机制</w:t>
            </w:r>
          </w:p>
          <w:p w14:paraId="2E00B24E">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2.能力目标：熟练应用各种辅助检查，对内科疾病作出科学、正确的诊断，并理解各项辅助检查的临床意义</w:t>
            </w:r>
          </w:p>
          <w:p w14:paraId="31D8555A">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3.素质目标：注重培养学生的临床思维能力，能够对内科常见疾病制订出合理的防治计划和具体方法；注重培养学生以人为中心的治疗理念，能够在整体诊治中有爱心、耐心及责任心</w:t>
            </w:r>
          </w:p>
        </w:tc>
        <w:tc>
          <w:tcPr>
            <w:tcW w:w="2959" w:type="dxa"/>
            <w:shd w:val="clear" w:color="auto" w:fill="auto"/>
            <w:vAlign w:val="top"/>
          </w:tcPr>
          <w:p w14:paraId="449958C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0B8EB92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校内教学：内科常见病、多发病的病因、发病机制、临床表现、辅助检查方法、诊断标准、鉴别诊断、治疗原则和预防措施；内科常见急危重症的临床表现、初步处理和转院要求</w:t>
            </w:r>
          </w:p>
          <w:p w14:paraId="5C32661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学生进入医院临床科室，在带教医师指导下参与真实患者接诊，学习病史采集、体格检查；跟进住院患者诊疗过程，参与病例讨论、查房及治疗方案制定；实践专科操作，如骨髓穿刺、内镜检查辅助等。</w:t>
            </w:r>
          </w:p>
        </w:tc>
        <w:tc>
          <w:tcPr>
            <w:tcW w:w="2833" w:type="dxa"/>
            <w:shd w:val="clear" w:color="auto" w:fill="auto"/>
            <w:vAlign w:val="top"/>
          </w:tcPr>
          <w:p w14:paraId="63CAF8D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5CC53BA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2.全国职业院校技能大赛</w:t>
            </w:r>
          </w:p>
          <w:p w14:paraId="46849B4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教学要求</w:t>
            </w:r>
          </w:p>
          <w:p w14:paraId="6F632E2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1999399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校内教学：采用理论授课与案例讨论结合，借助多媒体与虚拟教学资源；学生需课前预习、课中积极参与讨论与模拟操作；考核结合课堂表现、模拟操作成绩与理论测试，强化知识掌握与基础技能训练。</w:t>
            </w:r>
          </w:p>
          <w:p w14:paraId="0B45D934">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校外教学：以临床实践为主，学生需遵守医院规章制度，在带教医师监督下操作；定期撰写实习报告，参与病例汇报；考核结合临床实践表现、病例分析能力与实习报告质量，提升临床实战能力。</w:t>
            </w:r>
          </w:p>
        </w:tc>
      </w:tr>
      <w:tr w14:paraId="18FE4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23A8161C">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5</w:t>
            </w:r>
          </w:p>
        </w:tc>
        <w:tc>
          <w:tcPr>
            <w:tcW w:w="1065" w:type="dxa"/>
            <w:shd w:val="clear" w:color="auto" w:fill="auto"/>
            <w:vAlign w:val="center"/>
          </w:tcPr>
          <w:p w14:paraId="0AC1EE99">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外科学</w:t>
            </w:r>
          </w:p>
        </w:tc>
        <w:tc>
          <w:tcPr>
            <w:tcW w:w="2256" w:type="dxa"/>
            <w:shd w:val="clear" w:color="auto" w:fill="auto"/>
            <w:vAlign w:val="top"/>
          </w:tcPr>
          <w:p w14:paraId="6455520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1.知识目标：掌握外科基础理论、基本知识、基本技能；常见外科疾病的病因、病理、临床表现、诊断、鉴别诊断、预防和治疗原则；熟悉常见外科疾病手术的适应证、禁忌证；做好转诊计划，确保转诊途中安全</w:t>
            </w:r>
          </w:p>
          <w:p w14:paraId="7956DB7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2.能力目标：训练学生外科手术学的基本操作技术和培养学生严格的无菌观念</w:t>
            </w:r>
          </w:p>
          <w:p w14:paraId="7BE26DF0">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3.素质目标：加强对学生临床思维和实际工作能力的培养，强调树立全心全意为人民服务的职业理想</w:t>
            </w:r>
          </w:p>
        </w:tc>
        <w:tc>
          <w:tcPr>
            <w:tcW w:w="2959" w:type="dxa"/>
            <w:shd w:val="clear" w:color="auto" w:fill="auto"/>
            <w:vAlign w:val="top"/>
          </w:tcPr>
          <w:p w14:paraId="2D809DD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7EDF511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系统讲授外科基础理论，包括无菌术、外科感染、创伤修复等知识；演示外科手术基本操作规范，如切开、止血、缝合、打结；借助虚拟仿真系统开展腹腔镜模拟操作训练，结合典型病例分析外科疾病诊疗思路。</w:t>
            </w:r>
          </w:p>
          <w:p w14:paraId="00BF0D59">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学生进入医院外科科室，在带教医师指导下参与术前准备、术中配合及术后管理；学习常见外科疾病（如阑尾炎、甲状腺结节）的诊疗流程；实践外科专科操作，如换药、清创缝合、简单手术助手工作。</w:t>
            </w:r>
          </w:p>
        </w:tc>
        <w:tc>
          <w:tcPr>
            <w:tcW w:w="2833" w:type="dxa"/>
            <w:shd w:val="clear" w:color="auto" w:fill="auto"/>
            <w:vAlign w:val="top"/>
          </w:tcPr>
          <w:p w14:paraId="4B39B3E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1C18819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2.全国职业院校技能大赛</w:t>
            </w:r>
          </w:p>
          <w:p w14:paraId="0B66AE4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教学要求</w:t>
            </w:r>
          </w:p>
          <w:p w14:paraId="4AD757AC">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211536C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校内教学：采用理论讲解与实操演示结合，利用教学视频、模拟教具辅助教学；学生需反复练习基础操作，通过小组协作完成模拟手术任务；考核包含理论测试与操作技能评分，强化外科基础能力培养。</w:t>
            </w:r>
          </w:p>
          <w:p w14:paraId="450DC1CF">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校外教学：以临床跟岗实践为主，学生需全程参与患者诊疗；严格遵守医疗规范，在指导下逐步独立完成基础操作；考核结合临床实践表现、病例处理能力及带教评价，提升临床外科实战水平。</w:t>
            </w:r>
          </w:p>
        </w:tc>
      </w:tr>
      <w:tr w14:paraId="19B5B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4C6FA310">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6</w:t>
            </w:r>
          </w:p>
        </w:tc>
        <w:tc>
          <w:tcPr>
            <w:tcW w:w="1065" w:type="dxa"/>
            <w:shd w:val="clear" w:color="auto" w:fill="auto"/>
            <w:vAlign w:val="center"/>
          </w:tcPr>
          <w:p w14:paraId="2E0B28F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妇产科学</w:t>
            </w:r>
          </w:p>
        </w:tc>
        <w:tc>
          <w:tcPr>
            <w:tcW w:w="2256" w:type="dxa"/>
            <w:shd w:val="clear" w:color="auto" w:fill="auto"/>
            <w:vAlign w:val="top"/>
          </w:tcPr>
          <w:p w14:paraId="43944F8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1.知识目标：掌握妇产科基本理论、基本知识；掌握妇产科常见病、多发病的发生发展规律、诊断依据、治疗方法和预防措施；掌握妇女保健、孕（产）妇保健及计划生育措施</w:t>
            </w:r>
          </w:p>
          <w:p w14:paraId="0F14BF7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通过本课程的学习，使学生掌握各种妇产科临床基本操作技能；具备对常见病、多发病的诊治能力，对危重、急症病人的初步处理能力，计划生育及卫生保健指导能力；具备一定的自学能力、临床思维能力和创新思维能力</w:t>
            </w:r>
          </w:p>
          <w:p w14:paraId="455B9AB6">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3.素质目标：具有理论联系实际，实事求是和科学严谨的工作态度；具有良好的医德医风和高度的责任心、同情心；具有良好的医患沟通技巧，建立和谐医患关系</w:t>
            </w:r>
          </w:p>
        </w:tc>
        <w:tc>
          <w:tcPr>
            <w:tcW w:w="2959" w:type="dxa"/>
            <w:shd w:val="clear" w:color="auto" w:fill="auto"/>
            <w:vAlign w:val="top"/>
          </w:tcPr>
          <w:p w14:paraId="7E6961E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75110E4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妇产科常见病、多发病的病因、发病机制、临床表现、诊断方法、预防和治疗原则；正常妊娠和分娩的过程及常见并发症、并发症的诊断、预防、治疗原则；妇产科病史采集、基本检查和病历书写要求；计划生育宣传指导</w:t>
            </w:r>
          </w:p>
          <w:p w14:paraId="4D480528">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学生进入妇产科临床科室，在带教医师指导下参与产前检查、分娩接生、产后护理；学习妇科疾病的诊断流程与手术辅助操作；观察妇科内镜手术、剖宫产等常见手术过程，协助完成病史采集与病历记录。</w:t>
            </w:r>
          </w:p>
        </w:tc>
        <w:tc>
          <w:tcPr>
            <w:tcW w:w="2833" w:type="dxa"/>
            <w:shd w:val="clear" w:color="auto" w:fill="auto"/>
            <w:vAlign w:val="top"/>
          </w:tcPr>
          <w:p w14:paraId="7A2A5EB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2CA4AA3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2.全国职业院校技能大赛</w:t>
            </w:r>
          </w:p>
          <w:p w14:paraId="438586F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教学内容：临床医学基本知识、基本理论和基本技能以及医学人文素养，学习基层工作常见病、多发病的初步诊治，培养并初步形成一定的临床思维能力。</w:t>
            </w:r>
          </w:p>
          <w:p w14:paraId="04ACC66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3.1+X产后恢复等级证书（中级）</w:t>
            </w:r>
          </w:p>
          <w:p w14:paraId="0FCACFC9">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教学内容：孕产妇乳房护理、产后运动指导、产后饮食指导、产妇盆底功能障碍的常见症状、产后心理问题的影响因素、产后心理异常的表现及调适</w:t>
            </w:r>
          </w:p>
          <w:p w14:paraId="44D0BF8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教学要求</w:t>
            </w:r>
          </w:p>
          <w:p w14:paraId="3C405A6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5188171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校内教学：运用理论讲授结合多媒体案例分析，利用模拟教具辅助教学；学生需掌握基础理论，熟练完成模拟操作；考核结合课堂表现、模拟操作评分与理论测试，强化知识与技能基础。</w:t>
            </w:r>
          </w:p>
          <w:p w14:paraId="3098D2DD">
            <w:pPr>
              <w:overflowPunct w:val="0"/>
              <w:spacing w:line="240" w:lineRule="auto"/>
              <w:jc w:val="both"/>
              <w:rPr>
                <w:rFonts w:hint="eastAsia" w:ascii="仿宋" w:hAnsi="仿宋" w:eastAsia="仿宋" w:cs="仿宋"/>
                <w:b w:val="0"/>
                <w:color w:val="auto"/>
                <w:kern w:val="0"/>
                <w:sz w:val="18"/>
                <w:szCs w:val="18"/>
                <w:highlight w:val="none"/>
                <w:lang w:eastAsia="zh-CN"/>
              </w:rPr>
            </w:pPr>
          </w:p>
          <w:p w14:paraId="46C1E904">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校外教学：以临床实践为主，学生需遵守医疗规范，在指导下逐步参与诊疗；定期汇报学习成果；考核结合临床操作表现、病例处理能力及带教评价，提升临床实践能力。</w:t>
            </w:r>
          </w:p>
        </w:tc>
      </w:tr>
      <w:tr w14:paraId="62CA9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65C228F6">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7</w:t>
            </w:r>
          </w:p>
        </w:tc>
        <w:tc>
          <w:tcPr>
            <w:tcW w:w="1065" w:type="dxa"/>
            <w:shd w:val="clear" w:color="auto" w:fill="auto"/>
            <w:vAlign w:val="center"/>
          </w:tcPr>
          <w:p w14:paraId="42957DC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儿科学</w:t>
            </w:r>
          </w:p>
        </w:tc>
        <w:tc>
          <w:tcPr>
            <w:tcW w:w="2256" w:type="dxa"/>
            <w:shd w:val="clear" w:color="auto" w:fill="auto"/>
            <w:vAlign w:val="top"/>
          </w:tcPr>
          <w:p w14:paraId="186056D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1.知识目标：掌握儿科常见病、多发病的发生、发展规律，临床表现、诊断及治疗方法，掌握处理儿科急危重症的基本方法</w:t>
            </w:r>
          </w:p>
          <w:p w14:paraId="2C7FF3A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2.能力目标：具备对儿科常见病多发病诊断处理的基本技能</w:t>
            </w:r>
          </w:p>
          <w:p w14:paraId="30356EF3">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3.素质目标：具有较强的临床工作能力、自学能力、创新精神和职业扩展能力，具有良好的职业道德与作风，初步具备临床医师的职业素质，成为高质量的应用型与创新型医学人才</w:t>
            </w:r>
          </w:p>
        </w:tc>
        <w:tc>
          <w:tcPr>
            <w:tcW w:w="2959" w:type="dxa"/>
            <w:shd w:val="clear" w:color="auto" w:fill="auto"/>
            <w:vAlign w:val="top"/>
          </w:tcPr>
          <w:p w14:paraId="51C85A7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3263424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儿童生长发育的基本知识、常用衡量指标和生长发育评价；儿科常见病的病因、发病机理、临床表现、诊疗原则和预防措施；儿科病史采集、体格检查、辅助检查选择和基本的儿科诊疗操作；儿童保健和常见疾病预防方案制定。</w:t>
            </w:r>
          </w:p>
          <w:p w14:paraId="25422626">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学生进入儿科临床科室，在带教医师指导下参与患儿接诊、查体、病例书写；学习常见疾病诊疗流程，观察儿科急症（如高热惊厥、哮喘发作）抢救；实践儿童疫苗接种、新生儿护理等操作，参与病例讨论与查房。</w:t>
            </w:r>
          </w:p>
        </w:tc>
        <w:tc>
          <w:tcPr>
            <w:tcW w:w="2833" w:type="dxa"/>
            <w:shd w:val="clear" w:color="auto" w:fill="auto"/>
            <w:vAlign w:val="top"/>
          </w:tcPr>
          <w:p w14:paraId="1E86F9E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35C0B3AE">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2.全国职业院校技能大赛</w:t>
            </w:r>
          </w:p>
          <w:p w14:paraId="4EA821BC">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教学内容：基层工作儿科常见病、多发病的初步诊治，培养并初步形成一定的临床思维能力</w:t>
            </w:r>
          </w:p>
          <w:p w14:paraId="7C51C7B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3.育婴员（中级）</w:t>
            </w:r>
          </w:p>
          <w:p w14:paraId="669E388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教学内容：婴幼儿意外伤害预防与处理、婴幼儿动作能力训练、婴幼儿听说能力训练、幼儿生长发育指标异常的保健与护理、婴幼儿心理与行为问题的干预指导</w:t>
            </w:r>
          </w:p>
          <w:p w14:paraId="1AAE4209">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5EC743A1">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校内教学：采用理论授课与情景模拟结合，利用教具与虚拟教学资源辅助；学生需掌握基础理论，熟练完成模拟操作；通过课堂问答、操作考核与理论测试综合评价学习效果。</w:t>
            </w:r>
          </w:p>
          <w:p w14:paraId="52C4B544">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校外教学：以临床实践为主，学生需遵守医院制度，在监督下规范操作；定期提交实习报告；考核结合临床表现、病例处理能力与带教评价，提升儿科临床实战能力。</w:t>
            </w:r>
          </w:p>
        </w:tc>
      </w:tr>
      <w:tr w14:paraId="0A16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50A3218E">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3</w:t>
            </w:r>
            <w:r>
              <w:rPr>
                <w:rFonts w:hint="eastAsia" w:ascii="Times New Roman" w:hAnsi="Times New Roman" w:eastAsia="仿宋" w:cs="Times New Roman"/>
                <w:b w:val="0"/>
                <w:snapToGrid/>
                <w:kern w:val="2"/>
                <w:sz w:val="21"/>
                <w:szCs w:val="21"/>
                <w:lang w:val="en-US" w:eastAsia="zh-CN"/>
                <w14:ligatures w14:val="standardContextual"/>
              </w:rPr>
              <w:t>8</w:t>
            </w:r>
          </w:p>
        </w:tc>
        <w:tc>
          <w:tcPr>
            <w:tcW w:w="1065" w:type="dxa"/>
            <w:shd w:val="clear" w:color="auto" w:fill="auto"/>
            <w:vAlign w:val="center"/>
          </w:tcPr>
          <w:p w14:paraId="541E91A2">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急诊医学+急救知识与技术</w:t>
            </w:r>
          </w:p>
        </w:tc>
        <w:tc>
          <w:tcPr>
            <w:tcW w:w="2256" w:type="dxa"/>
            <w:shd w:val="clear" w:color="auto" w:fill="auto"/>
            <w:vAlign w:val="top"/>
          </w:tcPr>
          <w:p w14:paraId="48E904B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1.知识目标：掌握心跳呼吸骤停病人、创伤病人、气道梗阻病人、急性中毒病人、常见意外伤害病人、临床危象病人的病情判断、病情观察和救治措施；现场急救、重症监测和脏器功能支持技术的基本方法</w:t>
            </w:r>
          </w:p>
          <w:p w14:paraId="253C69F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2.能力目标：具有对各种急危重症实施现场急救的能力；具有完成急诊诊疗程序和保障急诊科工作质量要求的能力；具有简易呼吸器的使用、心脏电除颤等技术的应用能力。</w:t>
            </w:r>
          </w:p>
          <w:p w14:paraId="3316F0E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3.素质目标：树立良好的医德医风和全心全意为基层人民群众健康服务的思想；具有良好的心理素质、守法和维权意识；具有较强的人际沟通、团结协助能力</w:t>
            </w:r>
          </w:p>
        </w:tc>
        <w:tc>
          <w:tcPr>
            <w:tcW w:w="2959" w:type="dxa"/>
            <w:shd w:val="clear" w:color="auto" w:fill="auto"/>
            <w:vAlign w:val="top"/>
          </w:tcPr>
          <w:p w14:paraId="16D5EBE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7168589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急救医学、危重症医学、灾难医学、复苏学、创伤医学、毒物学、小儿急救及急诊医疗体系管理学。系统讲解急诊医学基础理论，包括急危重症的识别、评估方法；重点讲授心肺复苏、电除颤、气管插管等急救技术操作规范；通过典型急诊病例（如急性心肌梗死、休克）分析诊疗流程，开展模拟急诊场景下的团队协作演练。</w:t>
            </w:r>
          </w:p>
          <w:p w14:paraId="0AB2F975">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校外教学：学生进入医院急诊科，在带教医师指导下参与急症患者接诊、分诊、抢救；学习创伤急救、中毒处理等专科技术；实践多学科协作救治流程，参与急诊病历书写与病情观察记录。</w:t>
            </w:r>
          </w:p>
        </w:tc>
        <w:tc>
          <w:tcPr>
            <w:tcW w:w="2833" w:type="dxa"/>
            <w:shd w:val="clear" w:color="auto" w:fill="auto"/>
            <w:vAlign w:val="top"/>
          </w:tcPr>
          <w:p w14:paraId="6F474A1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2A1C1381">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2.全国职业院校技能大赛</w:t>
            </w:r>
          </w:p>
          <w:p w14:paraId="65E2D38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教学内容：学习对常见急症的初步诊断和处理，培养现场急救操作能力</w:t>
            </w:r>
          </w:p>
          <w:p w14:paraId="20E2F2D9">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6E9F546C">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校内教学：采用理论授课与模拟实训结合，借助模拟人、虚拟仿真系统教学；学生需熟练掌握急救操作步骤，参与模拟病例讨论；考核结合理论测试与操作技能评分，强化急诊急救基础能力。</w:t>
            </w:r>
          </w:p>
          <w:p w14:paraId="45F9596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校外教学：以临床实践为主，学生需遵守急诊工作规范，快速响应急救需求；定期汇报病例处理心得；考核结合临床表现、急救操作熟练度及团队协作能力评价，提升急诊实战水平。</w:t>
            </w:r>
          </w:p>
        </w:tc>
      </w:tr>
      <w:tr w14:paraId="00A78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7ECD8ADE">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val="en-US" w:eastAsia="zh-CN"/>
                <w14:ligatures w14:val="standardContextual"/>
              </w:rPr>
              <w:t>39</w:t>
            </w:r>
          </w:p>
        </w:tc>
        <w:tc>
          <w:tcPr>
            <w:tcW w:w="1065" w:type="dxa"/>
            <w:shd w:val="clear" w:color="auto" w:fill="auto"/>
            <w:vAlign w:val="center"/>
          </w:tcPr>
          <w:p w14:paraId="333420B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中医学基础与适宜技术</w:t>
            </w:r>
          </w:p>
        </w:tc>
        <w:tc>
          <w:tcPr>
            <w:tcW w:w="2256" w:type="dxa"/>
            <w:shd w:val="clear" w:color="auto" w:fill="auto"/>
            <w:vAlign w:val="top"/>
          </w:tcPr>
          <w:p w14:paraId="727A962E">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1.知识目标：掌握中医学理论体系的基本特点、中医学的基本理论和基本知识。通过本课程的学习，为其他中医基础课程和临床课程奠定坚实的基础。</w:t>
            </w:r>
          </w:p>
          <w:p w14:paraId="7E41A77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2.能力目标：能运用中医学的基本理论和基本知识阐释人体的生理病理现象，分析常见病症的病因病机。</w:t>
            </w:r>
          </w:p>
          <w:p w14:paraId="5E290D71">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3.素质目标：培养巩固专业思想，坚信中医，热爱中医。</w:t>
            </w:r>
          </w:p>
        </w:tc>
        <w:tc>
          <w:tcPr>
            <w:tcW w:w="2959" w:type="dxa"/>
            <w:shd w:val="clear" w:color="auto" w:fill="auto"/>
            <w:vAlign w:val="top"/>
          </w:tcPr>
          <w:p w14:paraId="2D5B53F8">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中医学哲学基础、正常生命现象理论知识、疾病理论知识，中医养生和治疗原则</w:t>
            </w:r>
          </w:p>
        </w:tc>
        <w:tc>
          <w:tcPr>
            <w:tcW w:w="2833" w:type="dxa"/>
            <w:shd w:val="clear" w:color="auto" w:fill="auto"/>
            <w:vAlign w:val="top"/>
          </w:tcPr>
          <w:p w14:paraId="0E5D3A0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08713AA1">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教学内容：主要包括中医学的基本理论、基础知识和诊疗基本原则，即中医基本特点、中医基础理论、中医四诊，以及拔罐、艾灸、刮痧、推拿等中医适宜技术</w:t>
            </w:r>
          </w:p>
        </w:tc>
      </w:tr>
      <w:tr w14:paraId="6E21C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65BF7DB6">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val="en-US" w:eastAsia="zh-CN"/>
                <w14:ligatures w14:val="standardContextual"/>
              </w:rPr>
              <w:t>40</w:t>
            </w:r>
          </w:p>
        </w:tc>
        <w:tc>
          <w:tcPr>
            <w:tcW w:w="1065" w:type="dxa"/>
            <w:shd w:val="clear" w:color="auto" w:fill="auto"/>
            <w:vAlign w:val="center"/>
          </w:tcPr>
          <w:p w14:paraId="2611F17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企业方向课程①（合作班）/基本公共卫生服务实务（校内班）</w:t>
            </w:r>
          </w:p>
        </w:tc>
        <w:tc>
          <w:tcPr>
            <w:tcW w:w="2256" w:type="dxa"/>
            <w:shd w:val="clear" w:color="auto" w:fill="auto"/>
            <w:vAlign w:val="top"/>
          </w:tcPr>
          <w:p w14:paraId="1C9EAC6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1.知识目标：掌握健康档案管理的基本内容、建档原则、管理方法及管理要求；健康教育和预防接种的基本知识；掌握重点人群和重点疾病健康管理的对象及基本内容；掌握卫生协管的具体要求</w:t>
            </w:r>
          </w:p>
          <w:p w14:paraId="4E433EE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能全面学习国家基本公共卫生服务项目，掌握其内涵，了解其流程与要求；能将公共卫生与临床诊疗、人群保健等相关知识紧密融合，强化知识应用；能正确规范管理疫苗、注射器等物品，按要求为服务对象提供预防接种服务。具有与患者及其家属以及其他医疗卫生保健人员沟通的能力</w:t>
            </w:r>
          </w:p>
          <w:p w14:paraId="359C7DCB">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3.素质目标：通过为辖区内居民熟练地开展公共卫生服务，建立起良好的信任关系，有利于顺利开展各项医疗卫生服务工作，成为居民健康的“守门人”，提升评判性思维能力</w:t>
            </w:r>
          </w:p>
        </w:tc>
        <w:tc>
          <w:tcPr>
            <w:tcW w:w="2959" w:type="dxa"/>
            <w:shd w:val="clear" w:color="auto" w:fill="auto"/>
            <w:vAlign w:val="top"/>
          </w:tcPr>
          <w:p w14:paraId="1423F401">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4BB0641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基本公共卫生服务的概念、基本要求、基本知识和基本技能；居民健康档案、管理与应用，健康教育，预防接种，0—6岁儿童、孕产妇、老年人、慢性病（高血压、糖尿病）患者、严重精神病人、肺结核病人的健康管理，中医药健康管理，传染病与突发公共卫生事件处置，卫生监督和计划生育等基本公共卫生服务工作的基本内容和规范</w:t>
            </w:r>
          </w:p>
          <w:p w14:paraId="3C7D43BD">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校外教学：根据临床实际工作情况，填报各级各类报表，熟悉档案管理规范流程</w:t>
            </w:r>
          </w:p>
        </w:tc>
        <w:tc>
          <w:tcPr>
            <w:tcW w:w="2833" w:type="dxa"/>
            <w:shd w:val="clear" w:color="auto" w:fill="auto"/>
            <w:vAlign w:val="top"/>
          </w:tcPr>
          <w:p w14:paraId="71BDEEF3">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全国职业院校技能大赛临床技能赛项</w:t>
            </w:r>
          </w:p>
          <w:p w14:paraId="24A9287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教学内容：包括居民健康档案建立、健康教育、慢性病管理、预防接种、结核病管理、传染病与突发公共卫生事件管理、老年人健康管理、孕产妇与新生儿管理等8个任务</w:t>
            </w:r>
          </w:p>
          <w:p w14:paraId="1D04FE4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1A1A773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校内教学：学生需掌握核心伦理概念，基本要求、基本知识和基本技能；</w:t>
            </w:r>
          </w:p>
          <w:p w14:paraId="65BD3B87">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校外教学：根据临床实际工作情况，填报各级各类报表，熟悉档案管理规范流程</w:t>
            </w:r>
          </w:p>
        </w:tc>
      </w:tr>
      <w:tr w14:paraId="3E51B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shd w:val="clear" w:color="auto" w:fill="auto"/>
            <w:vAlign w:val="center"/>
          </w:tcPr>
          <w:p w14:paraId="4DBEE5A9">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val="en-US" w:eastAsia="en-US"/>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1</w:t>
            </w:r>
          </w:p>
        </w:tc>
        <w:tc>
          <w:tcPr>
            <w:tcW w:w="1065" w:type="dxa"/>
            <w:shd w:val="clear" w:color="auto" w:fill="auto"/>
            <w:vAlign w:val="center"/>
          </w:tcPr>
          <w:p w14:paraId="68EC24DE">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全科医学概论</w:t>
            </w:r>
          </w:p>
        </w:tc>
        <w:tc>
          <w:tcPr>
            <w:tcW w:w="2256" w:type="dxa"/>
            <w:shd w:val="clear" w:color="auto" w:fill="auto"/>
            <w:vAlign w:val="top"/>
          </w:tcPr>
          <w:p w14:paraId="17CD51A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全科医学的基本概念与核心理论；熟悉全科医疗的服务模式、全科医生的角色、临床预防服务、社区卫生诊断和健康档案的建立与管理；我国全科医学方针政策；了解全科医学的学科特点、全科医学在国内外发展的现状，以及全科医疗服务在国家卫生保健系统中的地位和作用</w:t>
            </w:r>
          </w:p>
          <w:p w14:paraId="116DABC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2.能力目标：学会以人为中心，以问题为导向，以家庭为单位，以社区为范围，以预防为先导的全科医疗理念，并在实际社区医疗工作中学以致用；学会建立健康档案及对全科医疗质量进行评价</w:t>
            </w:r>
          </w:p>
          <w:p w14:paraId="2627E85F">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3.素质目标：让学生掌握全科医生诊疗范围，诊疗方式等，激励学生加强自身职业修养，运用自己所学知识分析解决全科医学中常见和基本问题</w:t>
            </w:r>
          </w:p>
        </w:tc>
        <w:tc>
          <w:tcPr>
            <w:tcW w:w="2959" w:type="dxa"/>
            <w:shd w:val="clear" w:color="auto" w:fill="auto"/>
            <w:vAlign w:val="top"/>
          </w:tcPr>
          <w:p w14:paraId="2B5DEDE0">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全科医学概述，以人为中心、以家庭为单位、以社区为范围、以问题为导向、以预防为先导的健康照顾、健康档案的建立与管理，全科医学中的医患关系与沟通，心脑血管疾病的全科医学处理和妇幼与老年保健中的全科医学服务等</w:t>
            </w:r>
          </w:p>
        </w:tc>
        <w:tc>
          <w:tcPr>
            <w:tcW w:w="2833" w:type="dxa"/>
            <w:shd w:val="clear" w:color="auto" w:fill="auto"/>
            <w:vAlign w:val="top"/>
          </w:tcPr>
          <w:p w14:paraId="3F8751C4">
            <w:pPr>
              <w:overflowPunct w:val="0"/>
              <w:spacing w:line="240" w:lineRule="auto"/>
              <w:jc w:val="both"/>
              <w:rPr>
                <w:rFonts w:hint="eastAsia" w:ascii="仿宋" w:hAnsi="仿宋" w:eastAsia="仿宋" w:cs="仿宋"/>
                <w:b w:val="0"/>
                <w:color w:val="auto"/>
                <w:kern w:val="0"/>
                <w:sz w:val="18"/>
                <w:szCs w:val="18"/>
                <w:highlight w:val="none"/>
                <w:lang w:val="en-US" w:eastAsia="en-US"/>
              </w:rPr>
            </w:pPr>
            <w:r>
              <w:rPr>
                <w:rFonts w:hint="eastAsia" w:ascii="仿宋" w:hAnsi="仿宋" w:eastAsia="仿宋" w:cs="仿宋"/>
                <w:b w:val="0"/>
                <w:color w:val="auto"/>
                <w:kern w:val="0"/>
                <w:sz w:val="18"/>
                <w:szCs w:val="18"/>
                <w:highlight w:val="none"/>
                <w:lang w:eastAsia="zh-CN"/>
              </w:rPr>
              <w:t>全科医学、全科医疗的定义与特点，全科医生的定义及角色；全科医学的基本原则与特点；家庭的定义、结构与功能，家庭生活周期的照顾、家庭评估的常用方法；常见健康问题的诊断策略与处理原则；临床预防医学服务的内容与方法；医患关系的模式和医患关系的影响决定因素；健康评价与健康管理的步骤和形式；培养学生具备全科医师的临床思维方式和诊疗策略，以及全科医疗中的沟通能力、团队协作能力、自主学习和终身学习的能力，使学生能够将全科医学的基本理论、基本方法与临床医学的专科知识结合起来，提高分析问题和解决问题的能力</w:t>
            </w:r>
          </w:p>
        </w:tc>
      </w:tr>
    </w:tbl>
    <w:p w14:paraId="0F1700D8">
      <w:pPr>
        <w:spacing w:line="38" w:lineRule="auto"/>
        <w:rPr>
          <w:rFonts w:ascii="Arial"/>
          <w:sz w:val="2"/>
        </w:rPr>
      </w:pPr>
    </w:p>
    <w:p w14:paraId="337220FE">
      <w:pPr>
        <w:pStyle w:val="5"/>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240" w:lineRule="auto"/>
        <w:ind w:firstLine="622" w:firstLineChars="200"/>
        <w:textAlignment w:val="baseline"/>
        <w:rPr>
          <w:rFonts w:hint="eastAsia"/>
          <w:b/>
          <w:bCs/>
          <w:lang w:val="en-US" w:eastAsia="zh-CN"/>
        </w:rPr>
      </w:pPr>
      <w:r>
        <w:rPr>
          <w:rFonts w:hint="eastAsia"/>
          <w:b/>
          <w:bCs/>
          <w:lang w:val="en-US" w:eastAsia="zh-CN"/>
        </w:rPr>
        <w:t>3.专业拓展课</w:t>
      </w:r>
    </w:p>
    <w:tbl>
      <w:tblPr>
        <w:tblStyle w:val="14"/>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2256"/>
        <w:gridCol w:w="2950"/>
        <w:gridCol w:w="2850"/>
      </w:tblGrid>
      <w:tr w14:paraId="6D710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25E98E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0359B4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2256" w:type="dxa"/>
            <w:vAlign w:val="center"/>
          </w:tcPr>
          <w:p w14:paraId="5B83A90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950" w:type="dxa"/>
            <w:vAlign w:val="center"/>
          </w:tcPr>
          <w:p w14:paraId="354B21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2850" w:type="dxa"/>
            <w:vAlign w:val="center"/>
          </w:tcPr>
          <w:p w14:paraId="075DC3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41DA7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D70AC04">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2</w:t>
            </w:r>
          </w:p>
        </w:tc>
        <w:tc>
          <w:tcPr>
            <w:tcW w:w="1065" w:type="dxa"/>
            <w:vAlign w:val="center"/>
          </w:tcPr>
          <w:p w14:paraId="48DC7F3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医学伦理学</w:t>
            </w:r>
          </w:p>
        </w:tc>
        <w:tc>
          <w:tcPr>
            <w:tcW w:w="2256" w:type="dxa"/>
            <w:vAlign w:val="center"/>
          </w:tcPr>
          <w:p w14:paraId="6AC4010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了解医学伦理学产生发展的概况，理解医学伦理学的研究对象、内容和方法及医学伦理学的基础理论，掌握医学伦理学的基本理论、原则、规范，自觉运用医学伦理学的基本理论来指导、调整自己的行为</w:t>
            </w:r>
          </w:p>
          <w:p w14:paraId="6E4BBA5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2.能力目标：提高在医疗实践中的人际沟通能力，学会处理和调整好各种医疗人际关系；能对医疗伦理行为进行正确的评价和选择，能自觉加强医学伦理修养，接受各种医学伦理教育、监督和考核</w:t>
            </w:r>
          </w:p>
          <w:p w14:paraId="3762F34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3.素质目标：养成认真、严谨的学习态度和实事求是的工作作风；形成良好的心理、道德品质和健康的人格；树立一切为了病人和全心全意为人民健康服务及为医学事业献身的理念</w:t>
            </w:r>
          </w:p>
        </w:tc>
        <w:tc>
          <w:tcPr>
            <w:tcW w:w="2950" w:type="dxa"/>
            <w:vAlign w:val="center"/>
          </w:tcPr>
          <w:p w14:paraId="53967B1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讲解医学伦理学基本理论、原则与规范，分析医患关系、人体实验、生命伦理等经典案例，探讨新技术引发的伦理争议。</w:t>
            </w:r>
          </w:p>
          <w:p w14:paraId="19779A52">
            <w:pPr>
              <w:overflowPunct w:val="0"/>
              <w:spacing w:line="240" w:lineRule="auto"/>
              <w:jc w:val="both"/>
              <w:rPr>
                <w:rFonts w:hint="eastAsia" w:ascii="仿宋" w:hAnsi="仿宋" w:eastAsia="仿宋" w:cs="仿宋"/>
                <w:b w:val="0"/>
                <w:color w:val="auto"/>
                <w:kern w:val="0"/>
                <w:sz w:val="18"/>
                <w:szCs w:val="18"/>
                <w:highlight w:val="none"/>
                <w:lang w:eastAsia="zh-CN"/>
              </w:rPr>
            </w:pPr>
          </w:p>
        </w:tc>
        <w:tc>
          <w:tcPr>
            <w:tcW w:w="2850" w:type="dxa"/>
            <w:vAlign w:val="center"/>
          </w:tcPr>
          <w:p w14:paraId="1ED8941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5C47EE5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教学内容：伦理学与医学伦理学、医学伦理的原则与规范、医疗人际关系伦理、临床诊疗伦理、安宁疗护与死亡伦理、公共卫生伦理与健康伦理、医务人员医学伦理素质的养成</w:t>
            </w:r>
          </w:p>
          <w:p w14:paraId="1C9B4F6E">
            <w:pPr>
              <w:overflowPunct w:val="0"/>
              <w:spacing w:line="240" w:lineRule="auto"/>
              <w:jc w:val="both"/>
              <w:rPr>
                <w:rFonts w:hint="eastAsia" w:ascii="仿宋" w:hAnsi="仿宋" w:eastAsia="仿宋" w:cs="仿宋"/>
                <w:b w:val="0"/>
                <w:color w:val="auto"/>
                <w:kern w:val="0"/>
                <w:sz w:val="18"/>
                <w:szCs w:val="18"/>
                <w:highlight w:val="none"/>
                <w:lang w:eastAsia="zh-CN"/>
              </w:rPr>
            </w:pPr>
          </w:p>
        </w:tc>
      </w:tr>
      <w:tr w14:paraId="5CC00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13F56178">
            <w:pPr>
              <w:widowControl w:val="0"/>
              <w:kinsoku/>
              <w:autoSpaceDE/>
              <w:autoSpaceDN/>
              <w:adjustRightInd/>
              <w:spacing w:after="0" w:line="245" w:lineRule="auto"/>
              <w:jc w:val="center"/>
              <w:textAlignment w:val="auto"/>
              <w:rPr>
                <w:rFonts w:hint="default" w:ascii="Times New Roman" w:hAnsi="Times New Roman" w:eastAsia="仿宋" w:cs="Times New Roman"/>
                <w:b w:val="0"/>
                <w:snapToGrid/>
                <w:kern w:val="2"/>
                <w:sz w:val="21"/>
                <w:szCs w:val="21"/>
                <w:lang w:val="en-US"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3</w:t>
            </w:r>
          </w:p>
        </w:tc>
        <w:tc>
          <w:tcPr>
            <w:tcW w:w="1065" w:type="dxa"/>
            <w:vAlign w:val="center"/>
          </w:tcPr>
          <w:p w14:paraId="23A65F4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康复医学</w:t>
            </w:r>
          </w:p>
        </w:tc>
        <w:tc>
          <w:tcPr>
            <w:tcW w:w="2256" w:type="dxa"/>
            <w:vAlign w:val="center"/>
          </w:tcPr>
          <w:p w14:paraId="33B0E7B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1.知识目标：掌握康复医学导论、康复医学的地位与作用、康复医学机构与组织方式、康复医学专业人员及工作方式等项目的基本知识。熟悉残疾学、功能障碍、康复预防、康复治疗等项目的基本知识</w:t>
            </w:r>
          </w:p>
          <w:p w14:paraId="428FB8E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2.能力目标：具备对康复医学、治疗技术和康复治疗师的充分认知能力；能与病人进行良好的沟通，恰当使用解释用语，在操作中关爱病人，让病人能很好地配合康复工作</w:t>
            </w:r>
          </w:p>
          <w:p w14:paraId="0FA3FF7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3.素质目标具有较强的法纪意识，遵纪守法，能遵守有关医疗工作及康复治疗有关制度和法规；具备严谨求实的工作态度，对病人具有高度的同情心和耐心</w:t>
            </w:r>
          </w:p>
        </w:tc>
        <w:tc>
          <w:tcPr>
            <w:tcW w:w="2950" w:type="dxa"/>
            <w:vAlign w:val="center"/>
          </w:tcPr>
          <w:p w14:paraId="0ECB2DC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绪论（康复医学相关概念、发展史、康复医学在现代医学中的地位、作用，工作内容、方法与服务方式以及社区康复组织实施）、康复评定（运动、言语与吞咽、认知、心理、神经电生理、心肺功能及日常生活活动及社会参与能力评定）、康复治疗技术（物理疗法、作业疗法、艳遇记吞咽障碍治疗、疼痛康复、心理治疗、康复工程、中国传统康复疗法）、常见疾病康复等内容</w:t>
            </w:r>
          </w:p>
        </w:tc>
        <w:tc>
          <w:tcPr>
            <w:tcW w:w="2850" w:type="dxa"/>
            <w:vAlign w:val="center"/>
          </w:tcPr>
          <w:p w14:paraId="2F2AA84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具有分析和解决康复医学临床问题的能力，能够对康复治疗过程中出现的问题进行及时处理；具有与患者及其家属进行有效沟通的能力，能够向他们解释康复治疗的目的、方法和注意事项；具有团队协作能力，能够与康复医学团队的其他成员密切配合，共同完成康复治疗任务</w:t>
            </w:r>
          </w:p>
        </w:tc>
      </w:tr>
      <w:tr w14:paraId="139AE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134C7523">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4</w:t>
            </w:r>
          </w:p>
        </w:tc>
        <w:tc>
          <w:tcPr>
            <w:tcW w:w="1065" w:type="dxa"/>
            <w:vAlign w:val="center"/>
          </w:tcPr>
          <w:p w14:paraId="7927617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传染病学</w:t>
            </w:r>
          </w:p>
        </w:tc>
        <w:tc>
          <w:tcPr>
            <w:tcW w:w="2256" w:type="dxa"/>
            <w:vAlign w:val="center"/>
          </w:tcPr>
          <w:p w14:paraId="4DCEC8E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1.知识目标：掌握《传染病学》的基本理论、基本知识，熟悉我国《中华人民共和国传染病防治法》及传染病消毒隔离方法，了解常见传染病的流行现状及发展趋势</w:t>
            </w:r>
          </w:p>
          <w:p w14:paraId="27E78C4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2.能力目标：培养学生应用正确的临床思维模式对传染病学各章节常见传染病的临床表现、辅助检查等综合分析，并做出合理的诊断治疗及预防措施的能力</w:t>
            </w:r>
          </w:p>
          <w:p w14:paraId="3947679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培养学生爱岗敬业、热爱科学、严谨求实的工作作风。能够在今后的临床工作中有爱心、细心、耐心及责任心，并具有爱伤观念。培养学生具有良好的心理素质、敏锐的思辨能力及增强安全风险意识的能力</w:t>
            </w:r>
          </w:p>
        </w:tc>
        <w:tc>
          <w:tcPr>
            <w:tcW w:w="2950" w:type="dxa"/>
            <w:vAlign w:val="center"/>
          </w:tcPr>
          <w:p w14:paraId="5F13ECD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分为六大章节，包括传染病学总论，病毒性传染病，细菌性传染病，螺旋体病，原虫病，蠕虫病。常见传染病的病因、发病机制与病理解剖、临床表现、诊断、治疗以及流行病学与预防措施</w:t>
            </w:r>
          </w:p>
        </w:tc>
        <w:tc>
          <w:tcPr>
            <w:tcW w:w="2850" w:type="dxa"/>
            <w:vAlign w:val="center"/>
          </w:tcPr>
          <w:p w14:paraId="22AD24B9">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1F81D1D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教学内容：传染病的发生、发展以及传播的基本规律，常见传染病的防治原则</w:t>
            </w:r>
          </w:p>
          <w:p w14:paraId="11B7CAD2">
            <w:pPr>
              <w:overflowPunct w:val="0"/>
              <w:spacing w:line="240" w:lineRule="auto"/>
              <w:jc w:val="both"/>
              <w:rPr>
                <w:rFonts w:hint="eastAsia" w:ascii="仿宋" w:hAnsi="仿宋" w:eastAsia="仿宋" w:cs="仿宋"/>
                <w:b w:val="0"/>
                <w:color w:val="auto"/>
                <w:kern w:val="0"/>
                <w:sz w:val="18"/>
                <w:szCs w:val="18"/>
                <w:highlight w:val="none"/>
                <w:lang w:eastAsia="zh-CN"/>
              </w:rPr>
            </w:pPr>
          </w:p>
        </w:tc>
      </w:tr>
      <w:tr w14:paraId="59822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38841041">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5</w:t>
            </w:r>
          </w:p>
        </w:tc>
        <w:tc>
          <w:tcPr>
            <w:tcW w:w="1065" w:type="dxa"/>
            <w:vAlign w:val="center"/>
          </w:tcPr>
          <w:p w14:paraId="236A59B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眼耳鼻喉口腔科学</w:t>
            </w:r>
          </w:p>
        </w:tc>
        <w:tc>
          <w:tcPr>
            <w:tcW w:w="2256" w:type="dxa"/>
            <w:vAlign w:val="center"/>
          </w:tcPr>
          <w:p w14:paraId="5F3BDC5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1.知识目标：熟悉眼耳鼻喉口腔科常见病、多发病的概念、临床表现及治疗；熟悉常见病健康教育的内容和方法；了解眼耳鼻喉口腔科常见疾病的主要发病因素、主要的病理过程和相关的解剖知识</w:t>
            </w:r>
          </w:p>
          <w:p w14:paraId="2CB8E000">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能利用所学的知识，在老师的指导下，具备对临床常见病、多发病病人进行病史采集和检查，做出初步诊断和正确治疗的能力，具有实施常用眼耳鼻喉口腔科的常用治疗操作、简单诊疗器械的应用能力；能利用所学知识进行医患沟通，取得病人的理解和配合，并能进行正确的心理疏导</w:t>
            </w:r>
          </w:p>
          <w:p w14:paraId="238AFF1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3.素质目标：通过本课程的学习，学生能够热爱临床工作，具有高尚的情操和奉献精神；具备良好的工作习惯、严谨求实的工作态度，对病人具有高度的爱心和责任心</w:t>
            </w:r>
          </w:p>
        </w:tc>
        <w:tc>
          <w:tcPr>
            <w:tcW w:w="2950" w:type="dxa"/>
            <w:vAlign w:val="center"/>
          </w:tcPr>
          <w:p w14:paraId="53AE1EF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眼科部分：眼的应用解剖与生理、眼科常用检查方法、眼睑病与泪器病、结膜病、角膜病、巩膜病、葡萄膜疾病、青光眼、晶状体病、视网膜与视神经疾病、眼外伤、眼的屈光与调节及斜弱视、眼眶病、防盲与治盲；耳鼻咽喉部分：耳鼻咽喉应用解剖与生理、常用检查方法、鼻部疾病、咽部疾病、喉部疾病、耳部疾病、气管与食管疾病；口腔科部分：口腔颌面部应用解剖与生理、牙体牙周组织疾病、口腔常见黏膜病、口腔颌面部感染、口腔局部麻醉与牙槽外科、口腔颌面部损伤</w:t>
            </w:r>
          </w:p>
        </w:tc>
        <w:tc>
          <w:tcPr>
            <w:tcW w:w="2850" w:type="dxa"/>
            <w:vAlign w:val="center"/>
          </w:tcPr>
          <w:p w14:paraId="29558D8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具备一定的临床思维能力和分析问题、解决问题的能力，能够对临床症状和体征进行综合分析，做出正确的判断</w:t>
            </w:r>
          </w:p>
        </w:tc>
      </w:tr>
      <w:tr w14:paraId="25A94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43" w:type="dxa"/>
            <w:gridSpan w:val="5"/>
            <w:vAlign w:val="center"/>
          </w:tcPr>
          <w:p w14:paraId="1C4BA711">
            <w:pPr>
              <w:pStyle w:val="15"/>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240" w:lineRule="auto"/>
              <w:jc w:val="center"/>
              <w:textAlignment w:val="baseline"/>
            </w:pPr>
            <w:r>
              <w:rPr>
                <w:rFonts w:hint="eastAsia"/>
                <w:sz w:val="21"/>
                <w:szCs w:val="24"/>
              </w:rPr>
              <w:t>三段进阶式人才培养模式者可开设</w:t>
            </w:r>
            <w:r>
              <w:rPr>
                <w:rFonts w:hint="eastAsia" w:eastAsia="宋体"/>
                <w:sz w:val="21"/>
                <w:szCs w:val="24"/>
                <w:lang w:val="en-US" w:eastAsia="zh-CN"/>
              </w:rPr>
              <w:t>以下</w:t>
            </w:r>
            <w:r>
              <w:rPr>
                <w:rFonts w:hint="eastAsia"/>
                <w:sz w:val="21"/>
                <w:szCs w:val="24"/>
              </w:rPr>
              <w:t>企业课程</w:t>
            </w:r>
          </w:p>
        </w:tc>
      </w:tr>
      <w:tr w14:paraId="435BB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2A7E1096">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6</w:t>
            </w:r>
          </w:p>
        </w:tc>
        <w:tc>
          <w:tcPr>
            <w:tcW w:w="1065" w:type="dxa"/>
            <w:vAlign w:val="center"/>
          </w:tcPr>
          <w:p w14:paraId="2770909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企业方向课程②（合作班）/医患沟通（校内班）</w:t>
            </w:r>
          </w:p>
        </w:tc>
        <w:tc>
          <w:tcPr>
            <w:tcW w:w="2256" w:type="dxa"/>
            <w:vAlign w:val="center"/>
          </w:tcPr>
          <w:p w14:paraId="0779277A">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了解医学伦理学产生发展的概况，理解医学伦理学的研究对象、内容和方法及医学伦理学的基础理论，掌握医学伦理学的基本理论、原则、规范，自觉运用医学伦理学的基本理论来指导、调整自己的行为</w:t>
            </w:r>
          </w:p>
          <w:p w14:paraId="7576A1B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2.能力目标：提高在医疗实践中的人际沟通能力，学会处理和调整好各种医疗人际关系；能对医疗伦理行为进行正确的评价和选择，能自觉加强医学伦理修养，接受各种医学伦理教育、监督和考核</w:t>
            </w:r>
          </w:p>
          <w:p w14:paraId="0C17ED0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3.素质目标：养成认真、严谨的学习态度和实事求是的工作作风；形成良好的心理、道德品质和健康的人格；树立一切为了病人和全心全意为人民健康服务及为医学事业献身的理念</w:t>
            </w:r>
          </w:p>
        </w:tc>
        <w:tc>
          <w:tcPr>
            <w:tcW w:w="2950" w:type="dxa"/>
            <w:vAlign w:val="center"/>
          </w:tcPr>
          <w:p w14:paraId="2CBC8B72">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2436BBAF">
            <w:pPr>
              <w:overflowPunct w:val="0"/>
              <w:spacing w:line="240" w:lineRule="auto"/>
              <w:jc w:val="both"/>
              <w:rPr>
                <w:rFonts w:hint="eastAsia" w:ascii="仿宋" w:hAnsi="仿宋" w:eastAsia="仿宋" w:cs="仿宋"/>
                <w:b w:val="0"/>
                <w:color w:val="auto"/>
                <w:kern w:val="0"/>
                <w:sz w:val="18"/>
                <w:szCs w:val="18"/>
                <w:highlight w:val="none"/>
                <w:lang w:eastAsia="zh-CN"/>
              </w:rPr>
            </w:pPr>
          </w:p>
          <w:p w14:paraId="78F0E07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介绍医患沟通的基础理论，如沟通要素、人际沟通特征等；讲解沟通原则，像尊重、平等、共情等；传授倾听、提问、反馈等技巧；通过分析不同科室的医患沟通案例，如内科、外科等，深入剖析沟通要点与障碍化解方法。</w:t>
            </w:r>
          </w:p>
          <w:p w14:paraId="576D896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校外教学：组织学生到医院门诊、病房进行见习，跟随医生查房，观察真实场景下的医患互动；参与术前沟通、病情交代等环节；开展患者满意度调查，了解患者对沟通的需求与意见。</w:t>
            </w:r>
          </w:p>
          <w:p w14:paraId="732F79A1">
            <w:pPr>
              <w:overflowPunct w:val="0"/>
              <w:spacing w:line="240" w:lineRule="auto"/>
              <w:jc w:val="both"/>
              <w:rPr>
                <w:rFonts w:hint="eastAsia" w:ascii="仿宋" w:hAnsi="仿宋" w:eastAsia="仿宋" w:cs="仿宋"/>
                <w:b w:val="0"/>
                <w:color w:val="auto"/>
                <w:kern w:val="0"/>
                <w:sz w:val="18"/>
                <w:szCs w:val="18"/>
                <w:highlight w:val="none"/>
                <w:lang w:eastAsia="zh-CN"/>
              </w:rPr>
            </w:pPr>
          </w:p>
        </w:tc>
        <w:tc>
          <w:tcPr>
            <w:tcW w:w="2850" w:type="dxa"/>
            <w:vAlign w:val="center"/>
          </w:tcPr>
          <w:p w14:paraId="7F99FA0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1.执业助理医师资格考试</w:t>
            </w:r>
          </w:p>
          <w:p w14:paraId="4E86CA16">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教学内容：伦理学与医学伦理学、医学伦理的原则与规范、医疗人际关系伦理、临床诊疗伦理、安宁疗护与死亡伦理、公共卫生伦理与健康伦理、医务人员医学伦理素质的养成</w:t>
            </w:r>
          </w:p>
          <w:p w14:paraId="1BE5901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3F94BA3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校内教学：学生要熟知医患沟通理论知识，熟练掌握沟通技巧；积极参与课堂讨论、角色扮演，提高沟通实践能力；课后完成案例分析作业，培养批判性思维，学会从案例中总结经验与不足。</w:t>
            </w:r>
          </w:p>
          <w:p w14:paraId="60A74164">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校外教学：学生需认真观察并记录医患沟通场景，与患者进行简单交流；结合校内理论知识，分析实践中的沟通问题并提出改进措施；撰写见习报告，反思自身不足，不断提升沟通能力。</w:t>
            </w:r>
          </w:p>
        </w:tc>
      </w:tr>
      <w:tr w14:paraId="41CAF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4840EEBE">
            <w:pPr>
              <w:widowControl w:val="0"/>
              <w:kinsoku/>
              <w:autoSpaceDE/>
              <w:autoSpaceDN/>
              <w:adjustRightInd/>
              <w:spacing w:after="0" w:line="245" w:lineRule="auto"/>
              <w:jc w:val="center"/>
              <w:textAlignment w:val="auto"/>
              <w:rPr>
                <w:rFonts w:hint="eastAsia" w:ascii="Times New Roman" w:hAnsi="Times New Roman" w:eastAsia="仿宋" w:cs="Times New Roman"/>
                <w:b w:val="0"/>
                <w:snapToGrid/>
                <w:kern w:val="2"/>
                <w:sz w:val="21"/>
                <w:szCs w:val="21"/>
                <w:lang w:eastAsia="zh-CN"/>
                <w14:ligatures w14:val="standardContextual"/>
              </w:rPr>
            </w:pPr>
            <w:r>
              <w:rPr>
                <w:rFonts w:hint="eastAsia" w:ascii="Times New Roman" w:hAnsi="Times New Roman" w:eastAsia="仿宋" w:cs="Times New Roman"/>
                <w:b w:val="0"/>
                <w:snapToGrid/>
                <w:kern w:val="2"/>
                <w:sz w:val="21"/>
                <w:szCs w:val="21"/>
                <w:lang w:eastAsia="zh-CN"/>
                <w14:ligatures w14:val="standardContextual"/>
              </w:rPr>
              <w:t>4</w:t>
            </w:r>
            <w:r>
              <w:rPr>
                <w:rFonts w:hint="eastAsia" w:ascii="Times New Roman" w:hAnsi="Times New Roman" w:eastAsia="仿宋" w:cs="Times New Roman"/>
                <w:b w:val="0"/>
                <w:snapToGrid/>
                <w:kern w:val="2"/>
                <w:sz w:val="21"/>
                <w:szCs w:val="21"/>
                <w:lang w:val="en-US" w:eastAsia="zh-CN"/>
                <w14:ligatures w14:val="standardContextual"/>
              </w:rPr>
              <w:t>7</w:t>
            </w:r>
          </w:p>
        </w:tc>
        <w:tc>
          <w:tcPr>
            <w:tcW w:w="1065" w:type="dxa"/>
            <w:vAlign w:val="center"/>
          </w:tcPr>
          <w:p w14:paraId="0E5A9AE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企业方向课程③（合作班）/临床实践技能（校内班）</w:t>
            </w:r>
          </w:p>
        </w:tc>
        <w:tc>
          <w:tcPr>
            <w:tcW w:w="2256" w:type="dxa"/>
            <w:vAlign w:val="center"/>
          </w:tcPr>
          <w:p w14:paraId="6D174505">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1.知识目标：学生需掌握临床基本操作的规范流程、适应证、禁忌证及注意事项，熟悉常见疾病的诊断与治疗技能要点。</w:t>
            </w:r>
          </w:p>
          <w:p w14:paraId="75489D3D">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2.能力目标：通过系统训练，学生应能熟练完成体格检查、无菌操作、急救处理等临床技能操作；能够结合病史采集与辅助检查结果，进行疾病初步诊断与治疗方案制定；同时具备临床沟通与团队协作能力，可有效与患者及医护团队交流。</w:t>
            </w:r>
          </w:p>
          <w:p w14:paraId="4373002E">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3.素质目标：强调树立严谨的科学态度、良好的职业道德，培养学生在临床实践中尊重患者、关爱生命的职业精神，增强医疗安全意识与责任意识，为未来临床工作奠定坚实基础。</w:t>
            </w:r>
          </w:p>
        </w:tc>
        <w:tc>
          <w:tcPr>
            <w:tcW w:w="2950" w:type="dxa"/>
            <w:vAlign w:val="center"/>
          </w:tcPr>
          <w:p w14:paraId="5F49EE6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780FE4DE">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围绕临床基础操作，系统讲解心肺复苏、无菌术、体格检查、穿刺术等技能要点，通过标准化病人（SP）及模拟教具演示规范流程；同时借助虚拟仿真技术开展急救、手术模拟训练，并进行病例分析强化临床思维。</w:t>
            </w:r>
          </w:p>
          <w:p w14:paraId="7E1C54E8">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校外教学：安排学生进入医院各科室，在带教医师指导下参与问诊查体、换药缝合、辅助检查判读等真实临床工作；参与病例讨论、疑难会诊，学习病情评估与治疗方案制定。</w:t>
            </w:r>
          </w:p>
        </w:tc>
        <w:tc>
          <w:tcPr>
            <w:tcW w:w="2850" w:type="dxa"/>
            <w:vAlign w:val="center"/>
          </w:tcPr>
          <w:p w14:paraId="7530DCCF">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“0.5”阶段，该课程由行业企业讲授。</w:t>
            </w:r>
          </w:p>
          <w:p w14:paraId="1AA9F2FB">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校内教学：学生需熟练掌握各项操作标准，在模拟环境中规范完成技能演练，通过阶段性考核；能够结合病例灵活运用操作知识，完成技能操作报告，为校外实践夯实基础。</w:t>
            </w:r>
          </w:p>
          <w:p w14:paraId="0E8ECFE7">
            <w:pPr>
              <w:overflowPunct w:val="0"/>
              <w:spacing w:line="240" w:lineRule="auto"/>
              <w:jc w:val="both"/>
              <w:rPr>
                <w:rFonts w:hint="eastAsia" w:ascii="仿宋" w:hAnsi="仿宋" w:eastAsia="仿宋" w:cs="仿宋"/>
                <w:b w:val="0"/>
                <w:color w:val="auto"/>
                <w:kern w:val="0"/>
                <w:sz w:val="18"/>
                <w:szCs w:val="18"/>
                <w:highlight w:val="none"/>
                <w:lang w:eastAsia="zh-CN"/>
              </w:rPr>
            </w:pPr>
            <w:r>
              <w:rPr>
                <w:rFonts w:hint="eastAsia" w:ascii="仿宋" w:hAnsi="仿宋" w:eastAsia="仿宋" w:cs="仿宋"/>
                <w:b w:val="0"/>
                <w:color w:val="auto"/>
                <w:kern w:val="0"/>
                <w:sz w:val="18"/>
                <w:szCs w:val="18"/>
                <w:highlight w:val="none"/>
                <w:lang w:eastAsia="zh-CN"/>
              </w:rPr>
              <w:t>校外教学：学生需独立完成基础临床操作，严格遵守医疗规范；主动观察学习复杂病例处理，定期撰写实习总结；通过临床技能考核与综合评价，实现理论向实践的转化。</w:t>
            </w:r>
          </w:p>
        </w:tc>
      </w:tr>
    </w:tbl>
    <w:p w14:paraId="5A99D1C9">
      <w:pPr>
        <w:pStyle w:val="5"/>
        <w:spacing w:before="181" w:line="226" w:lineRule="auto"/>
        <w:ind w:firstLine="556" w:firstLineChars="200"/>
        <w:rPr>
          <w:rFonts w:hint="default" w:ascii="仿宋_GB2312" w:eastAsia="仿宋_GB2312"/>
          <w:color w:val="0000FF"/>
          <w:sz w:val="28"/>
          <w:szCs w:val="28"/>
          <w:lang w:val="en-US" w:eastAsia="zh-CN"/>
        </w:rPr>
      </w:pPr>
      <w:r>
        <w:rPr>
          <w:rFonts w:hint="eastAsia"/>
          <w:b w:val="0"/>
          <w:color w:val="auto"/>
          <w:spacing w:val="-1"/>
          <w:kern w:val="0"/>
          <w:sz w:val="28"/>
          <w:szCs w:val="28"/>
          <w:highlight w:val="none"/>
          <w:lang w:val="en-US" w:eastAsia="zh-CN"/>
        </w:rPr>
        <w:t>2026级学生拟进行“1.5+0.5+1”三段进阶式人才培养模式者，公共基础课与专业基础课需在“1.5”阶段，在校内完成；部分专业核心课与专业拓展课程为定制化行业企业课程，需在“0.5”阶段，由行业、企业导师授课，需将行业、企业实际项目、工作流程、新技术等融入教学内容，同时，邀请行业、企业技术骨干参与课程标准制定，确保课程内容的实用性与先进性。</w:t>
      </w:r>
    </w:p>
    <w:p w14:paraId="421D94ED">
      <w:pPr>
        <w:spacing w:line="38" w:lineRule="auto"/>
        <w:rPr>
          <w:rFonts w:hint="eastAsia" w:ascii="Arial" w:eastAsia="宋体"/>
          <w:sz w:val="2"/>
          <w:lang w:eastAsia="zh-CN"/>
        </w:rPr>
      </w:pPr>
      <w:bookmarkStart w:id="60" w:name="_GoBack"/>
      <w:r>
        <w:rPr>
          <w:rFonts w:hint="eastAsia" w:eastAsia="宋体"/>
          <w:b/>
          <w:bCs/>
          <w:spacing w:val="-1"/>
          <w:lang w:eastAsia="zh-CN"/>
        </w:rPr>
        <w:t>、</w:t>
      </w:r>
      <w:bookmarkEnd w:id="60"/>
    </w:p>
    <w:p w14:paraId="1C736F3D">
      <w:pPr>
        <w:pStyle w:val="2"/>
        <w:keepNext/>
        <w:keepLines/>
        <w:pageBreakBefore w:val="0"/>
        <w:widowControl/>
        <w:kinsoku w:val="0"/>
        <w:wordWrap/>
        <w:overflowPunct/>
        <w:topLinePunct w:val="0"/>
        <w:autoSpaceDE w:val="0"/>
        <w:autoSpaceDN w:val="0"/>
        <w:bidi w:val="0"/>
        <w:adjustRightInd w:val="0"/>
        <w:snapToGrid w:val="0"/>
        <w:spacing w:line="240" w:lineRule="auto"/>
        <w:textAlignment w:val="baseline"/>
      </w:pPr>
      <w:bookmarkStart w:id="23" w:name="_Toc22612"/>
      <w:bookmarkStart w:id="24" w:name="_Toc838"/>
      <w:r>
        <w:t>七、教学进程总体安排</w:t>
      </w:r>
      <w:bookmarkEnd w:id="23"/>
      <w:bookmarkEnd w:id="24"/>
    </w:p>
    <w:p w14:paraId="4889DB2D">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25" w:name="_Toc1601"/>
      <w:bookmarkStart w:id="26" w:name="_Toc12697"/>
      <w:r>
        <w:t>（一）教学周数安排表</w:t>
      </w:r>
      <w:bookmarkEnd w:id="25"/>
      <w:bookmarkEnd w:id="26"/>
    </w:p>
    <w:p w14:paraId="65386F80">
      <w:pPr>
        <w:spacing w:line="49" w:lineRule="auto"/>
        <w:rPr>
          <w:rFonts w:ascii="Arial"/>
          <w:sz w:val="2"/>
        </w:rPr>
      </w:pPr>
    </w:p>
    <w:tbl>
      <w:tblPr>
        <w:tblStyle w:val="14"/>
        <w:tblW w:w="95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1020"/>
        <w:gridCol w:w="802"/>
        <w:gridCol w:w="802"/>
        <w:gridCol w:w="1024"/>
        <w:gridCol w:w="808"/>
        <w:gridCol w:w="914"/>
        <w:gridCol w:w="1210"/>
        <w:gridCol w:w="956"/>
        <w:gridCol w:w="961"/>
      </w:tblGrid>
      <w:tr w14:paraId="45D14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1017" w:type="dxa"/>
            <w:tcBorders>
              <w:top w:val="single" w:color="auto" w:sz="4" w:space="0"/>
              <w:left w:val="single" w:color="auto" w:sz="4" w:space="0"/>
              <w:bottom w:val="single" w:color="auto" w:sz="4" w:space="0"/>
              <w:right w:val="single" w:color="auto" w:sz="4" w:space="0"/>
            </w:tcBorders>
            <w:vAlign w:val="center"/>
          </w:tcPr>
          <w:p w14:paraId="57AC120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学年</w:t>
            </w:r>
          </w:p>
        </w:tc>
        <w:tc>
          <w:tcPr>
            <w:tcW w:w="1020" w:type="dxa"/>
            <w:tcBorders>
              <w:top w:val="single" w:color="auto" w:sz="4" w:space="0"/>
              <w:left w:val="single" w:color="auto" w:sz="4" w:space="0"/>
              <w:bottom w:val="single" w:color="auto" w:sz="4" w:space="0"/>
              <w:right w:val="single" w:color="auto" w:sz="4" w:space="0"/>
            </w:tcBorders>
            <w:vAlign w:val="center"/>
          </w:tcPr>
          <w:p w14:paraId="471E377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学期</w:t>
            </w:r>
          </w:p>
        </w:tc>
        <w:tc>
          <w:tcPr>
            <w:tcW w:w="802" w:type="dxa"/>
            <w:tcBorders>
              <w:top w:val="single" w:color="auto" w:sz="4" w:space="0"/>
              <w:left w:val="single" w:color="auto" w:sz="4" w:space="0"/>
              <w:bottom w:val="single" w:color="auto" w:sz="4" w:space="0"/>
              <w:right w:val="single" w:color="auto" w:sz="4" w:space="0"/>
            </w:tcBorders>
            <w:vAlign w:val="center"/>
          </w:tcPr>
          <w:p w14:paraId="04729EC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军训</w:t>
            </w:r>
          </w:p>
        </w:tc>
        <w:tc>
          <w:tcPr>
            <w:tcW w:w="802" w:type="dxa"/>
            <w:tcBorders>
              <w:top w:val="single" w:color="auto" w:sz="4" w:space="0"/>
              <w:left w:val="single" w:color="auto" w:sz="4" w:space="0"/>
              <w:bottom w:val="single" w:color="auto" w:sz="4" w:space="0"/>
              <w:right w:val="single" w:color="auto" w:sz="4" w:space="0"/>
            </w:tcBorders>
            <w:vAlign w:val="center"/>
          </w:tcPr>
          <w:p w14:paraId="7A4C7E0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教学</w:t>
            </w:r>
          </w:p>
        </w:tc>
        <w:tc>
          <w:tcPr>
            <w:tcW w:w="1024" w:type="dxa"/>
            <w:tcBorders>
              <w:top w:val="single" w:color="auto" w:sz="4" w:space="0"/>
              <w:left w:val="single" w:color="auto" w:sz="4" w:space="0"/>
              <w:bottom w:val="single" w:color="auto" w:sz="4" w:space="0"/>
              <w:right w:val="single" w:color="auto" w:sz="4" w:space="0"/>
            </w:tcBorders>
            <w:vAlign w:val="center"/>
          </w:tcPr>
          <w:p w14:paraId="208240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复习考试</w:t>
            </w:r>
          </w:p>
        </w:tc>
        <w:tc>
          <w:tcPr>
            <w:tcW w:w="808" w:type="dxa"/>
            <w:tcBorders>
              <w:top w:val="single" w:color="auto" w:sz="4" w:space="0"/>
              <w:left w:val="single" w:color="auto" w:sz="4" w:space="0"/>
              <w:bottom w:val="single" w:color="auto" w:sz="4" w:space="0"/>
              <w:right w:val="single" w:color="auto" w:sz="4" w:space="0"/>
            </w:tcBorders>
            <w:vAlign w:val="center"/>
          </w:tcPr>
          <w:p w14:paraId="5B87C32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教学</w:t>
            </w:r>
          </w:p>
          <w:p w14:paraId="61DE110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见习</w:t>
            </w:r>
          </w:p>
        </w:tc>
        <w:tc>
          <w:tcPr>
            <w:tcW w:w="914" w:type="dxa"/>
            <w:tcBorders>
              <w:top w:val="single" w:color="auto" w:sz="4" w:space="0"/>
              <w:left w:val="single" w:color="auto" w:sz="4" w:space="0"/>
              <w:bottom w:val="single" w:color="auto" w:sz="4" w:space="0"/>
              <w:right w:val="single" w:color="auto" w:sz="4" w:space="0"/>
            </w:tcBorders>
            <w:vAlign w:val="center"/>
          </w:tcPr>
          <w:p w14:paraId="4E223A7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毕业</w:t>
            </w:r>
          </w:p>
          <w:p w14:paraId="4CE97AE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实习</w:t>
            </w:r>
          </w:p>
        </w:tc>
        <w:tc>
          <w:tcPr>
            <w:tcW w:w="1210" w:type="dxa"/>
            <w:tcBorders>
              <w:top w:val="single" w:color="auto" w:sz="4" w:space="0"/>
              <w:left w:val="single" w:color="auto" w:sz="4" w:space="0"/>
              <w:bottom w:val="single" w:color="auto" w:sz="4" w:space="0"/>
              <w:right w:val="single" w:color="auto" w:sz="4" w:space="0"/>
            </w:tcBorders>
            <w:vAlign w:val="center"/>
          </w:tcPr>
          <w:p w14:paraId="1E710C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运动会</w:t>
            </w:r>
          </w:p>
          <w:p w14:paraId="68F8F4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或长假</w:t>
            </w:r>
          </w:p>
        </w:tc>
        <w:tc>
          <w:tcPr>
            <w:tcW w:w="956" w:type="dxa"/>
            <w:tcBorders>
              <w:top w:val="single" w:color="auto" w:sz="4" w:space="0"/>
              <w:left w:val="single" w:color="auto" w:sz="4" w:space="0"/>
              <w:bottom w:val="single" w:color="auto" w:sz="4" w:space="0"/>
              <w:right w:val="single" w:color="auto" w:sz="4" w:space="0"/>
            </w:tcBorders>
            <w:vAlign w:val="center"/>
          </w:tcPr>
          <w:p w14:paraId="5B1482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社会实践</w:t>
            </w:r>
          </w:p>
        </w:tc>
        <w:tc>
          <w:tcPr>
            <w:tcW w:w="961" w:type="dxa"/>
            <w:tcBorders>
              <w:top w:val="single" w:color="auto" w:sz="4" w:space="0"/>
              <w:left w:val="single" w:color="auto" w:sz="4" w:space="0"/>
              <w:bottom w:val="single" w:color="auto" w:sz="4" w:space="0"/>
              <w:right w:val="single" w:color="auto" w:sz="4" w:space="0"/>
            </w:tcBorders>
            <w:vAlign w:val="center"/>
          </w:tcPr>
          <w:p w14:paraId="300219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合计</w:t>
            </w:r>
          </w:p>
        </w:tc>
      </w:tr>
      <w:tr w14:paraId="3718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017" w:type="dxa"/>
            <w:vMerge w:val="restart"/>
            <w:tcBorders>
              <w:top w:val="single" w:color="auto" w:sz="4" w:space="0"/>
              <w:left w:val="single" w:color="auto" w:sz="4" w:space="0"/>
              <w:bottom w:val="single" w:color="auto" w:sz="4" w:space="0"/>
              <w:right w:val="single" w:color="auto" w:sz="4" w:space="0"/>
            </w:tcBorders>
            <w:vAlign w:val="center"/>
          </w:tcPr>
          <w:p w14:paraId="61A7BF03">
            <w:pPr>
              <w:spacing w:before="65" w:line="151" w:lineRule="exact"/>
              <w:jc w:val="center"/>
              <w:rPr>
                <w:rFonts w:ascii="楷体" w:hAnsi="楷体" w:eastAsia="楷体" w:cs="楷体"/>
                <w:sz w:val="20"/>
                <w:szCs w:val="20"/>
              </w:rPr>
            </w:pPr>
            <w:r>
              <w:rPr>
                <w:rFonts w:ascii="楷体" w:hAnsi="楷体" w:eastAsia="楷体" w:cs="楷体"/>
                <w:position w:val="-3"/>
                <w:sz w:val="20"/>
                <w:szCs w:val="20"/>
              </w:rPr>
              <w:t>一</w:t>
            </w:r>
          </w:p>
        </w:tc>
        <w:tc>
          <w:tcPr>
            <w:tcW w:w="1020" w:type="dxa"/>
            <w:tcBorders>
              <w:top w:val="single" w:color="auto" w:sz="4" w:space="0"/>
              <w:left w:val="single" w:color="auto" w:sz="4" w:space="0"/>
              <w:bottom w:val="single" w:color="auto" w:sz="4" w:space="0"/>
              <w:right w:val="single" w:color="auto" w:sz="4" w:space="0"/>
            </w:tcBorders>
            <w:vAlign w:val="center"/>
          </w:tcPr>
          <w:p w14:paraId="53D74439">
            <w:pPr>
              <w:spacing w:before="65" w:line="190" w:lineRule="auto"/>
              <w:jc w:val="center"/>
              <w:rPr>
                <w:rFonts w:ascii="楷体" w:hAnsi="楷体" w:eastAsia="楷体" w:cs="楷体"/>
                <w:sz w:val="20"/>
                <w:szCs w:val="20"/>
              </w:rPr>
            </w:pPr>
            <w:r>
              <w:rPr>
                <w:rFonts w:ascii="楷体" w:hAnsi="楷体" w:eastAsia="楷体" w:cs="楷体"/>
                <w:sz w:val="20"/>
                <w:szCs w:val="20"/>
              </w:rPr>
              <w:t>1</w:t>
            </w:r>
          </w:p>
        </w:tc>
        <w:tc>
          <w:tcPr>
            <w:tcW w:w="802" w:type="dxa"/>
            <w:tcBorders>
              <w:top w:val="single" w:color="auto" w:sz="4" w:space="0"/>
              <w:left w:val="single" w:color="auto" w:sz="4" w:space="0"/>
              <w:bottom w:val="single" w:color="auto" w:sz="4" w:space="0"/>
              <w:right w:val="single" w:color="auto" w:sz="4" w:space="0"/>
            </w:tcBorders>
            <w:vAlign w:val="center"/>
          </w:tcPr>
          <w:p w14:paraId="1F6505B3">
            <w:pPr>
              <w:spacing w:before="65" w:line="191" w:lineRule="auto"/>
              <w:jc w:val="center"/>
              <w:rPr>
                <w:rFonts w:ascii="楷体" w:hAnsi="楷体" w:eastAsia="楷体" w:cs="楷体"/>
                <w:spacing w:val="-5"/>
                <w:sz w:val="20"/>
                <w:szCs w:val="20"/>
              </w:rPr>
            </w:pPr>
          </w:p>
        </w:tc>
        <w:tc>
          <w:tcPr>
            <w:tcW w:w="802" w:type="dxa"/>
            <w:tcBorders>
              <w:top w:val="single" w:color="auto" w:sz="4" w:space="0"/>
              <w:left w:val="single" w:color="auto" w:sz="4" w:space="0"/>
              <w:bottom w:val="single" w:color="auto" w:sz="4" w:space="0"/>
              <w:right w:val="single" w:color="auto" w:sz="4" w:space="0"/>
            </w:tcBorders>
            <w:vAlign w:val="center"/>
          </w:tcPr>
          <w:p w14:paraId="774291B7">
            <w:pPr>
              <w:spacing w:before="65" w:line="191" w:lineRule="auto"/>
              <w:jc w:val="center"/>
              <w:rPr>
                <w:rFonts w:hint="eastAsia" w:ascii="楷体" w:hAnsi="楷体" w:eastAsia="楷体" w:cs="楷体"/>
                <w:sz w:val="20"/>
                <w:szCs w:val="20"/>
                <w:lang w:eastAsia="zh-CN"/>
              </w:rPr>
            </w:pPr>
            <w:r>
              <w:rPr>
                <w:rFonts w:ascii="楷体" w:hAnsi="楷体" w:eastAsia="楷体" w:cs="楷体"/>
                <w:spacing w:val="-5"/>
                <w:sz w:val="20"/>
                <w:szCs w:val="20"/>
              </w:rPr>
              <w:t>1</w:t>
            </w:r>
            <w:r>
              <w:rPr>
                <w:rFonts w:hint="eastAsia" w:ascii="楷体" w:hAnsi="楷体" w:eastAsia="楷体" w:cs="楷体"/>
                <w:spacing w:val="-5"/>
                <w:sz w:val="20"/>
                <w:szCs w:val="20"/>
                <w:lang w:val="en-US" w:eastAsia="zh-CN"/>
              </w:rPr>
              <w:t>6</w:t>
            </w:r>
          </w:p>
        </w:tc>
        <w:tc>
          <w:tcPr>
            <w:tcW w:w="1024" w:type="dxa"/>
            <w:tcBorders>
              <w:top w:val="single" w:color="auto" w:sz="4" w:space="0"/>
              <w:left w:val="single" w:color="auto" w:sz="4" w:space="0"/>
              <w:bottom w:val="single" w:color="auto" w:sz="4" w:space="0"/>
              <w:right w:val="single" w:color="auto" w:sz="4" w:space="0"/>
            </w:tcBorders>
            <w:vAlign w:val="center"/>
          </w:tcPr>
          <w:p w14:paraId="7754CEDC">
            <w:pPr>
              <w:spacing w:before="65" w:line="191" w:lineRule="auto"/>
              <w:jc w:val="center"/>
              <w:rPr>
                <w:rFonts w:hint="eastAsia" w:ascii="楷体" w:hAnsi="楷体" w:eastAsia="楷体" w:cs="楷体"/>
                <w:sz w:val="20"/>
                <w:szCs w:val="20"/>
                <w:lang w:eastAsia="zh-CN"/>
              </w:rPr>
            </w:pPr>
            <w:r>
              <w:rPr>
                <w:rFonts w:hint="eastAsia" w:ascii="楷体" w:hAnsi="楷体" w:eastAsia="楷体" w:cs="楷体"/>
                <w:sz w:val="20"/>
                <w:szCs w:val="20"/>
                <w:lang w:val="en-US" w:eastAsia="zh-CN"/>
              </w:rPr>
              <w:t>2</w:t>
            </w:r>
          </w:p>
        </w:tc>
        <w:tc>
          <w:tcPr>
            <w:tcW w:w="808" w:type="dxa"/>
            <w:tcBorders>
              <w:top w:val="single" w:color="auto" w:sz="4" w:space="0"/>
              <w:left w:val="single" w:color="auto" w:sz="4" w:space="0"/>
              <w:bottom w:val="single" w:color="auto" w:sz="4" w:space="0"/>
              <w:right w:val="single" w:color="auto" w:sz="4" w:space="0"/>
            </w:tcBorders>
            <w:vAlign w:val="center"/>
          </w:tcPr>
          <w:p w14:paraId="7DA602B3">
            <w:pPr>
              <w:pStyle w:val="15"/>
              <w:jc w:val="center"/>
            </w:pPr>
          </w:p>
        </w:tc>
        <w:tc>
          <w:tcPr>
            <w:tcW w:w="914" w:type="dxa"/>
            <w:tcBorders>
              <w:top w:val="single" w:color="auto" w:sz="4" w:space="0"/>
              <w:left w:val="single" w:color="auto" w:sz="4" w:space="0"/>
              <w:bottom w:val="single" w:color="auto" w:sz="4" w:space="0"/>
              <w:right w:val="single" w:color="auto" w:sz="4" w:space="0"/>
            </w:tcBorders>
            <w:vAlign w:val="center"/>
          </w:tcPr>
          <w:p w14:paraId="50CA3FF3">
            <w:pPr>
              <w:pStyle w:val="15"/>
              <w:jc w:val="center"/>
            </w:pPr>
          </w:p>
        </w:tc>
        <w:tc>
          <w:tcPr>
            <w:tcW w:w="1210" w:type="dxa"/>
            <w:tcBorders>
              <w:top w:val="single" w:color="auto" w:sz="4" w:space="0"/>
              <w:left w:val="single" w:color="auto" w:sz="4" w:space="0"/>
              <w:bottom w:val="single" w:color="auto" w:sz="4" w:space="0"/>
              <w:right w:val="single" w:color="auto" w:sz="4" w:space="0"/>
            </w:tcBorders>
            <w:vAlign w:val="center"/>
          </w:tcPr>
          <w:p w14:paraId="3535BCA5">
            <w:pPr>
              <w:spacing w:before="65" w:line="190" w:lineRule="auto"/>
              <w:jc w:val="center"/>
              <w:rPr>
                <w:rFonts w:ascii="楷体" w:hAnsi="楷体" w:eastAsia="楷体" w:cs="楷体"/>
                <w:sz w:val="20"/>
                <w:szCs w:val="20"/>
              </w:rPr>
            </w:pPr>
            <w:r>
              <w:rPr>
                <w:rFonts w:ascii="楷体" w:hAnsi="楷体" w:eastAsia="楷体" w:cs="楷体"/>
                <w:sz w:val="20"/>
                <w:szCs w:val="20"/>
              </w:rPr>
              <w:t>1</w:t>
            </w:r>
          </w:p>
        </w:tc>
        <w:tc>
          <w:tcPr>
            <w:tcW w:w="956" w:type="dxa"/>
            <w:tcBorders>
              <w:top w:val="single" w:color="auto" w:sz="4" w:space="0"/>
              <w:left w:val="single" w:color="auto" w:sz="4" w:space="0"/>
              <w:bottom w:val="single" w:color="auto" w:sz="4" w:space="0"/>
              <w:right w:val="single" w:color="auto" w:sz="4" w:space="0"/>
            </w:tcBorders>
            <w:vAlign w:val="center"/>
          </w:tcPr>
          <w:p w14:paraId="480A1BDC">
            <w:pPr>
              <w:spacing w:before="65" w:line="190" w:lineRule="auto"/>
              <w:ind w:left="405"/>
              <w:jc w:val="both"/>
              <w:rPr>
                <w:rFonts w:ascii="楷体" w:hAnsi="楷体" w:eastAsia="楷体" w:cs="楷体"/>
                <w:sz w:val="20"/>
                <w:szCs w:val="20"/>
              </w:rPr>
            </w:pPr>
            <w:r>
              <w:rPr>
                <w:rFonts w:ascii="楷体" w:hAnsi="楷体" w:eastAsia="楷体" w:cs="楷体"/>
                <w:sz w:val="20"/>
                <w:szCs w:val="20"/>
              </w:rPr>
              <w:t>1</w:t>
            </w:r>
          </w:p>
        </w:tc>
        <w:tc>
          <w:tcPr>
            <w:tcW w:w="961" w:type="dxa"/>
            <w:tcBorders>
              <w:top w:val="single" w:color="auto" w:sz="4" w:space="0"/>
              <w:left w:val="single" w:color="auto" w:sz="4" w:space="0"/>
              <w:bottom w:val="single" w:color="auto" w:sz="4" w:space="0"/>
              <w:right w:val="single" w:color="auto" w:sz="4" w:space="0"/>
            </w:tcBorders>
            <w:vAlign w:val="center"/>
          </w:tcPr>
          <w:p w14:paraId="3E0D08FE">
            <w:pPr>
              <w:spacing w:before="65" w:line="191" w:lineRule="auto"/>
              <w:jc w:val="center"/>
              <w:rPr>
                <w:rFonts w:ascii="楷体" w:hAnsi="楷体" w:eastAsia="楷体" w:cs="楷体"/>
                <w:sz w:val="20"/>
                <w:szCs w:val="20"/>
              </w:rPr>
            </w:pPr>
            <w:r>
              <w:rPr>
                <w:rFonts w:ascii="楷体" w:hAnsi="楷体" w:eastAsia="楷体" w:cs="楷体"/>
                <w:spacing w:val="1"/>
                <w:sz w:val="20"/>
                <w:szCs w:val="20"/>
              </w:rPr>
              <w:t>20</w:t>
            </w:r>
          </w:p>
        </w:tc>
      </w:tr>
      <w:tr w14:paraId="48BA7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1017" w:type="dxa"/>
            <w:vMerge w:val="continue"/>
            <w:tcBorders>
              <w:top w:val="single" w:color="auto" w:sz="4" w:space="0"/>
              <w:left w:val="single" w:color="auto" w:sz="4" w:space="0"/>
              <w:bottom w:val="single" w:color="auto" w:sz="4" w:space="0"/>
              <w:right w:val="single" w:color="auto" w:sz="4" w:space="0"/>
            </w:tcBorders>
            <w:vAlign w:val="center"/>
          </w:tcPr>
          <w:p w14:paraId="58D0F10C">
            <w:pPr>
              <w:pStyle w:val="15"/>
              <w:jc w:val="center"/>
            </w:pPr>
          </w:p>
        </w:tc>
        <w:tc>
          <w:tcPr>
            <w:tcW w:w="1020" w:type="dxa"/>
            <w:tcBorders>
              <w:top w:val="single" w:color="auto" w:sz="4" w:space="0"/>
              <w:left w:val="single" w:color="auto" w:sz="4" w:space="0"/>
              <w:bottom w:val="single" w:color="auto" w:sz="4" w:space="0"/>
              <w:right w:val="single" w:color="auto" w:sz="4" w:space="0"/>
            </w:tcBorders>
            <w:vAlign w:val="center"/>
          </w:tcPr>
          <w:p w14:paraId="2801F321">
            <w:pPr>
              <w:spacing w:before="65" w:line="191" w:lineRule="auto"/>
              <w:jc w:val="center"/>
              <w:rPr>
                <w:rFonts w:ascii="楷体" w:hAnsi="楷体" w:eastAsia="楷体" w:cs="楷体"/>
                <w:sz w:val="20"/>
                <w:szCs w:val="20"/>
              </w:rPr>
            </w:pPr>
            <w:r>
              <w:rPr>
                <w:rFonts w:ascii="楷体" w:hAnsi="楷体" w:eastAsia="楷体" w:cs="楷体"/>
                <w:sz w:val="20"/>
                <w:szCs w:val="20"/>
              </w:rPr>
              <w:t>2</w:t>
            </w:r>
          </w:p>
        </w:tc>
        <w:tc>
          <w:tcPr>
            <w:tcW w:w="802" w:type="dxa"/>
            <w:tcBorders>
              <w:top w:val="single" w:color="auto" w:sz="4" w:space="0"/>
              <w:left w:val="single" w:color="auto" w:sz="4" w:space="0"/>
              <w:bottom w:val="single" w:color="auto" w:sz="4" w:space="0"/>
              <w:right w:val="single" w:color="auto" w:sz="4" w:space="0"/>
            </w:tcBorders>
            <w:vAlign w:val="center"/>
          </w:tcPr>
          <w:p w14:paraId="09EDED82">
            <w:pPr>
              <w:spacing w:before="65" w:line="190" w:lineRule="auto"/>
              <w:jc w:val="center"/>
              <w:rPr>
                <w:rFonts w:hint="eastAsia" w:ascii="楷体" w:hAnsi="楷体" w:eastAsia="楷体" w:cs="楷体"/>
                <w:spacing w:val="-5"/>
                <w:sz w:val="20"/>
                <w:szCs w:val="20"/>
                <w:lang w:val="en-US" w:eastAsia="zh-CN"/>
              </w:rPr>
            </w:pPr>
            <w:r>
              <w:rPr>
                <w:rFonts w:hint="eastAsia" w:ascii="楷体" w:hAnsi="楷体" w:eastAsia="楷体" w:cs="楷体"/>
                <w:spacing w:val="-5"/>
                <w:sz w:val="20"/>
                <w:szCs w:val="20"/>
                <w:lang w:val="en-US" w:eastAsia="zh-CN"/>
              </w:rPr>
              <w:t>2</w:t>
            </w:r>
          </w:p>
        </w:tc>
        <w:tc>
          <w:tcPr>
            <w:tcW w:w="802" w:type="dxa"/>
            <w:tcBorders>
              <w:top w:val="single" w:color="auto" w:sz="4" w:space="0"/>
              <w:left w:val="single" w:color="auto" w:sz="4" w:space="0"/>
              <w:bottom w:val="single" w:color="auto" w:sz="4" w:space="0"/>
              <w:right w:val="single" w:color="auto" w:sz="4" w:space="0"/>
            </w:tcBorders>
            <w:vAlign w:val="center"/>
          </w:tcPr>
          <w:p w14:paraId="6EEBC41C">
            <w:pPr>
              <w:spacing w:before="65" w:line="190" w:lineRule="auto"/>
              <w:jc w:val="center"/>
              <w:rPr>
                <w:rFonts w:ascii="楷体" w:hAnsi="楷体" w:eastAsia="楷体" w:cs="楷体"/>
                <w:sz w:val="20"/>
                <w:szCs w:val="20"/>
              </w:rPr>
            </w:pPr>
            <w:r>
              <w:rPr>
                <w:rFonts w:ascii="楷体" w:hAnsi="楷体" w:eastAsia="楷体" w:cs="楷体"/>
                <w:spacing w:val="-5"/>
                <w:sz w:val="20"/>
                <w:szCs w:val="20"/>
              </w:rPr>
              <w:t>16</w:t>
            </w:r>
          </w:p>
        </w:tc>
        <w:tc>
          <w:tcPr>
            <w:tcW w:w="1024" w:type="dxa"/>
            <w:tcBorders>
              <w:top w:val="single" w:color="auto" w:sz="4" w:space="0"/>
              <w:left w:val="single" w:color="auto" w:sz="4" w:space="0"/>
              <w:bottom w:val="single" w:color="auto" w:sz="4" w:space="0"/>
              <w:right w:val="single" w:color="auto" w:sz="4" w:space="0"/>
            </w:tcBorders>
            <w:vAlign w:val="center"/>
          </w:tcPr>
          <w:p w14:paraId="53839A11">
            <w:pPr>
              <w:spacing w:before="65" w:line="191" w:lineRule="auto"/>
              <w:jc w:val="center"/>
              <w:rPr>
                <w:rFonts w:hint="eastAsia" w:ascii="楷体" w:hAnsi="楷体" w:eastAsia="楷体" w:cs="楷体"/>
                <w:sz w:val="20"/>
                <w:szCs w:val="20"/>
                <w:lang w:eastAsia="zh-CN"/>
              </w:rPr>
            </w:pPr>
            <w:r>
              <w:rPr>
                <w:rFonts w:hint="eastAsia" w:ascii="楷体" w:hAnsi="楷体" w:eastAsia="楷体" w:cs="楷体"/>
                <w:sz w:val="20"/>
                <w:szCs w:val="20"/>
                <w:lang w:val="en-US" w:eastAsia="zh-CN"/>
              </w:rPr>
              <w:t>1</w:t>
            </w:r>
          </w:p>
        </w:tc>
        <w:tc>
          <w:tcPr>
            <w:tcW w:w="808" w:type="dxa"/>
            <w:tcBorders>
              <w:top w:val="single" w:color="auto" w:sz="4" w:space="0"/>
              <w:left w:val="single" w:color="auto" w:sz="4" w:space="0"/>
              <w:bottom w:val="single" w:color="auto" w:sz="4" w:space="0"/>
              <w:right w:val="single" w:color="auto" w:sz="4" w:space="0"/>
            </w:tcBorders>
            <w:vAlign w:val="center"/>
          </w:tcPr>
          <w:p w14:paraId="2047BD84">
            <w:pPr>
              <w:pStyle w:val="15"/>
              <w:jc w:val="center"/>
            </w:pPr>
          </w:p>
        </w:tc>
        <w:tc>
          <w:tcPr>
            <w:tcW w:w="914" w:type="dxa"/>
            <w:tcBorders>
              <w:top w:val="single" w:color="auto" w:sz="4" w:space="0"/>
              <w:left w:val="single" w:color="auto" w:sz="4" w:space="0"/>
              <w:bottom w:val="single" w:color="auto" w:sz="4" w:space="0"/>
              <w:right w:val="single" w:color="auto" w:sz="4" w:space="0"/>
            </w:tcBorders>
            <w:vAlign w:val="center"/>
          </w:tcPr>
          <w:p w14:paraId="65AC7F24">
            <w:pPr>
              <w:pStyle w:val="15"/>
              <w:jc w:val="center"/>
            </w:pPr>
          </w:p>
        </w:tc>
        <w:tc>
          <w:tcPr>
            <w:tcW w:w="1210" w:type="dxa"/>
            <w:tcBorders>
              <w:top w:val="single" w:color="auto" w:sz="4" w:space="0"/>
              <w:left w:val="single" w:color="auto" w:sz="4" w:space="0"/>
              <w:bottom w:val="single" w:color="auto" w:sz="4" w:space="0"/>
              <w:right w:val="single" w:color="auto" w:sz="4" w:space="0"/>
            </w:tcBorders>
            <w:vAlign w:val="center"/>
          </w:tcPr>
          <w:p w14:paraId="24DD116B">
            <w:pPr>
              <w:spacing w:before="65" w:line="190" w:lineRule="auto"/>
              <w:jc w:val="center"/>
              <w:rPr>
                <w:rFonts w:ascii="楷体" w:hAnsi="楷体" w:eastAsia="楷体" w:cs="楷体"/>
                <w:sz w:val="20"/>
                <w:szCs w:val="20"/>
              </w:rPr>
            </w:pPr>
            <w:r>
              <w:rPr>
                <w:rFonts w:ascii="楷体" w:hAnsi="楷体" w:eastAsia="楷体" w:cs="楷体"/>
                <w:sz w:val="20"/>
                <w:szCs w:val="20"/>
              </w:rPr>
              <w:t>1</w:t>
            </w:r>
          </w:p>
        </w:tc>
        <w:tc>
          <w:tcPr>
            <w:tcW w:w="956" w:type="dxa"/>
            <w:tcBorders>
              <w:top w:val="single" w:color="auto" w:sz="4" w:space="0"/>
              <w:left w:val="single" w:color="auto" w:sz="4" w:space="0"/>
              <w:bottom w:val="single" w:color="auto" w:sz="4" w:space="0"/>
              <w:right w:val="single" w:color="auto" w:sz="4" w:space="0"/>
            </w:tcBorders>
            <w:vAlign w:val="center"/>
          </w:tcPr>
          <w:p w14:paraId="54C7A54E">
            <w:pPr>
              <w:spacing w:before="65" w:line="190" w:lineRule="auto"/>
              <w:jc w:val="center"/>
              <w:rPr>
                <w:rFonts w:ascii="楷体" w:hAnsi="楷体" w:eastAsia="楷体" w:cs="楷体"/>
                <w:sz w:val="20"/>
                <w:szCs w:val="20"/>
              </w:rPr>
            </w:pPr>
          </w:p>
        </w:tc>
        <w:tc>
          <w:tcPr>
            <w:tcW w:w="961" w:type="dxa"/>
            <w:tcBorders>
              <w:top w:val="single" w:color="auto" w:sz="4" w:space="0"/>
              <w:left w:val="single" w:color="auto" w:sz="4" w:space="0"/>
              <w:bottom w:val="single" w:color="auto" w:sz="4" w:space="0"/>
              <w:right w:val="single" w:color="auto" w:sz="4" w:space="0"/>
            </w:tcBorders>
            <w:vAlign w:val="center"/>
          </w:tcPr>
          <w:p w14:paraId="1E8650D8">
            <w:pPr>
              <w:spacing w:before="61" w:line="186" w:lineRule="auto"/>
              <w:jc w:val="center"/>
              <w:rPr>
                <w:rFonts w:ascii="Calibri" w:hAnsi="Calibri" w:eastAsia="Calibri" w:cs="Calibri"/>
                <w:sz w:val="20"/>
                <w:szCs w:val="20"/>
              </w:rPr>
            </w:pPr>
            <w:r>
              <w:rPr>
                <w:rFonts w:ascii="Calibri" w:hAnsi="Calibri" w:eastAsia="Calibri" w:cs="Calibri"/>
                <w:spacing w:val="-2"/>
                <w:sz w:val="20"/>
                <w:szCs w:val="20"/>
              </w:rPr>
              <w:t>20</w:t>
            </w:r>
          </w:p>
        </w:tc>
      </w:tr>
      <w:tr w14:paraId="05C3B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1017" w:type="dxa"/>
            <w:vMerge w:val="restart"/>
            <w:tcBorders>
              <w:top w:val="single" w:color="auto" w:sz="4" w:space="0"/>
              <w:left w:val="single" w:color="auto" w:sz="4" w:space="0"/>
              <w:bottom w:val="single" w:color="auto" w:sz="4" w:space="0"/>
              <w:right w:val="single" w:color="auto" w:sz="4" w:space="0"/>
            </w:tcBorders>
            <w:vAlign w:val="center"/>
          </w:tcPr>
          <w:p w14:paraId="3AECCAB3">
            <w:pPr>
              <w:pStyle w:val="15"/>
              <w:jc w:val="center"/>
              <w:rPr>
                <w:rFonts w:hint="eastAsia" w:eastAsia="宋体"/>
                <w:lang w:val="en-US" w:eastAsia="zh-CN"/>
              </w:rPr>
            </w:pPr>
            <w:r>
              <w:rPr>
                <w:rFonts w:hint="eastAsia" w:eastAsia="宋体"/>
                <w:lang w:val="en-US" w:eastAsia="zh-CN"/>
              </w:rPr>
              <w:t>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CA080D9">
            <w:pPr>
              <w:spacing w:before="65" w:line="191"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3</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E6D83CF">
            <w:pPr>
              <w:spacing w:before="65" w:line="190" w:lineRule="auto"/>
              <w:jc w:val="center"/>
              <w:rPr>
                <w:rFonts w:hint="eastAsia" w:ascii="楷体" w:hAnsi="楷体" w:eastAsia="楷体" w:cs="楷体"/>
                <w:sz w:val="20"/>
                <w:szCs w:val="20"/>
                <w:lang w:val="en-US" w:eastAsia="zh-CN"/>
              </w:rPr>
            </w:pPr>
          </w:p>
        </w:tc>
        <w:tc>
          <w:tcPr>
            <w:tcW w:w="8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E31E20">
            <w:pPr>
              <w:spacing w:before="65" w:line="190" w:lineRule="auto"/>
              <w:jc w:val="center"/>
              <w:rPr>
                <w:rFonts w:hint="default" w:ascii="楷体" w:hAnsi="楷体" w:eastAsia="楷体" w:cs="楷体"/>
                <w:snapToGrid w:val="0"/>
                <w:color w:val="000000"/>
                <w:kern w:val="0"/>
                <w:sz w:val="20"/>
                <w:szCs w:val="20"/>
                <w:lang w:val="en-US" w:eastAsia="zh-CN" w:bidi="ar-SA"/>
              </w:rPr>
            </w:pPr>
            <w:r>
              <w:rPr>
                <w:rFonts w:hint="eastAsia" w:ascii="楷体" w:hAnsi="楷体" w:eastAsia="楷体" w:cs="楷体"/>
                <w:sz w:val="20"/>
                <w:szCs w:val="20"/>
                <w:lang w:val="en-US" w:eastAsia="zh-CN"/>
              </w:rPr>
              <w:t>15、16</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12AE952B">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2</w:t>
            </w:r>
          </w:p>
        </w:tc>
        <w:tc>
          <w:tcPr>
            <w:tcW w:w="808" w:type="dxa"/>
            <w:vMerge w:val="restart"/>
            <w:tcBorders>
              <w:top w:val="single" w:color="auto" w:sz="4" w:space="0"/>
              <w:left w:val="single" w:color="auto" w:sz="4" w:space="0"/>
              <w:right w:val="single" w:color="auto" w:sz="4" w:space="0"/>
            </w:tcBorders>
            <w:shd w:val="clear" w:color="auto" w:fill="auto"/>
            <w:vAlign w:val="center"/>
          </w:tcPr>
          <w:p w14:paraId="21C44BC3">
            <w:pPr>
              <w:spacing w:before="65" w:line="190" w:lineRule="auto"/>
              <w:jc w:val="center"/>
              <w:rPr>
                <w:rFonts w:hint="eastAsia" w:ascii="楷体" w:hAnsi="楷体" w:eastAsia="楷体" w:cs="楷体"/>
                <w:snapToGrid w:val="0"/>
                <w:color w:val="000000"/>
                <w:kern w:val="0"/>
                <w:sz w:val="20"/>
                <w:szCs w:val="20"/>
                <w:lang w:val="en-US" w:eastAsia="zh-CN" w:bidi="ar-SA"/>
              </w:rPr>
            </w:pPr>
            <w:r>
              <w:rPr>
                <w:rFonts w:hint="eastAsia" w:ascii="楷体" w:hAnsi="楷体" w:eastAsia="楷体" w:cs="楷体"/>
                <w:sz w:val="20"/>
                <w:szCs w:val="20"/>
                <w:lang w:val="en-US" w:eastAsia="zh-CN"/>
              </w:rPr>
              <w:t>1</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054D0B43">
            <w:pPr>
              <w:pStyle w:val="15"/>
              <w:jc w:val="center"/>
              <w:rPr>
                <w:rFonts w:ascii="Arial" w:hAnsi="Arial" w:eastAsia="Arial" w:cs="Arial"/>
                <w:snapToGrid w:val="0"/>
                <w:color w:val="000000"/>
                <w:kern w:val="0"/>
                <w:sz w:val="21"/>
                <w:szCs w:val="21"/>
                <w:lang w:val="en-US" w:eastAsia="en-US" w:bidi="ar-SA"/>
              </w:rPr>
            </w:pP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79C7801">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1</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14:paraId="0E64DCB4">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1</w:t>
            </w:r>
          </w:p>
        </w:tc>
        <w:tc>
          <w:tcPr>
            <w:tcW w:w="961" w:type="dxa"/>
            <w:tcBorders>
              <w:top w:val="single" w:color="auto" w:sz="4" w:space="0"/>
              <w:left w:val="single" w:color="auto" w:sz="4" w:space="0"/>
              <w:bottom w:val="single" w:color="auto" w:sz="4" w:space="0"/>
              <w:right w:val="single" w:color="auto" w:sz="4" w:space="0"/>
            </w:tcBorders>
            <w:shd w:val="clear" w:color="auto" w:fill="auto"/>
            <w:vAlign w:val="center"/>
          </w:tcPr>
          <w:p w14:paraId="5AD4DBA8">
            <w:pPr>
              <w:spacing w:before="61" w:line="186" w:lineRule="auto"/>
              <w:jc w:val="center"/>
              <w:rPr>
                <w:rFonts w:ascii="Calibri" w:hAnsi="Calibri" w:eastAsia="Calibri" w:cs="Calibri"/>
                <w:snapToGrid w:val="0"/>
                <w:color w:val="000000"/>
                <w:kern w:val="0"/>
                <w:sz w:val="20"/>
                <w:szCs w:val="20"/>
                <w:lang w:val="en-US" w:eastAsia="en-US" w:bidi="ar-SA"/>
              </w:rPr>
            </w:pPr>
            <w:r>
              <w:rPr>
                <w:rFonts w:ascii="Calibri" w:hAnsi="Calibri" w:eastAsia="Calibri" w:cs="Calibri"/>
                <w:spacing w:val="-2"/>
                <w:sz w:val="20"/>
                <w:szCs w:val="20"/>
              </w:rPr>
              <w:t>20</w:t>
            </w:r>
          </w:p>
        </w:tc>
      </w:tr>
      <w:tr w14:paraId="72077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1017" w:type="dxa"/>
            <w:vMerge w:val="continue"/>
            <w:tcBorders>
              <w:top w:val="single" w:color="auto" w:sz="4" w:space="0"/>
              <w:left w:val="single" w:color="auto" w:sz="4" w:space="0"/>
              <w:bottom w:val="single" w:color="auto" w:sz="4" w:space="0"/>
              <w:right w:val="single" w:color="auto" w:sz="4" w:space="0"/>
            </w:tcBorders>
            <w:vAlign w:val="center"/>
          </w:tcPr>
          <w:p w14:paraId="1BCD3734">
            <w:pPr>
              <w:pStyle w:val="15"/>
              <w:jc w:val="cente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28F53290">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pacing w:val="1"/>
                <w:sz w:val="20"/>
                <w:szCs w:val="20"/>
              </w:rPr>
              <w:t>4</w:t>
            </w:r>
          </w:p>
        </w:tc>
        <w:tc>
          <w:tcPr>
            <w:tcW w:w="802" w:type="dxa"/>
            <w:tcBorders>
              <w:top w:val="single" w:color="auto" w:sz="4" w:space="0"/>
              <w:left w:val="single" w:color="auto" w:sz="4" w:space="0"/>
              <w:bottom w:val="single" w:color="auto" w:sz="4" w:space="0"/>
              <w:right w:val="single" w:color="auto" w:sz="4" w:space="0"/>
            </w:tcBorders>
            <w:vAlign w:val="center"/>
          </w:tcPr>
          <w:p w14:paraId="460C2AEA">
            <w:pPr>
              <w:spacing w:before="65" w:line="190" w:lineRule="auto"/>
              <w:jc w:val="center"/>
              <w:rPr>
                <w:rFonts w:ascii="楷体" w:hAnsi="楷体" w:eastAsia="楷体" w:cs="楷体"/>
                <w:spacing w:val="-5"/>
                <w:sz w:val="20"/>
                <w:szCs w:val="20"/>
              </w:rPr>
            </w:pPr>
          </w:p>
        </w:tc>
        <w:tc>
          <w:tcPr>
            <w:tcW w:w="802" w:type="dxa"/>
            <w:vMerge w:val="continue"/>
            <w:tcBorders>
              <w:top w:val="single" w:color="auto" w:sz="4" w:space="0"/>
              <w:left w:val="single" w:color="auto" w:sz="4" w:space="0"/>
              <w:bottom w:val="single" w:color="auto" w:sz="4" w:space="0"/>
              <w:right w:val="single" w:color="auto" w:sz="4" w:space="0"/>
            </w:tcBorders>
            <w:vAlign w:val="center"/>
          </w:tcPr>
          <w:p w14:paraId="41B72798">
            <w:pPr>
              <w:spacing w:before="65" w:line="190" w:lineRule="auto"/>
              <w:jc w:val="center"/>
              <w:rPr>
                <w:rFonts w:ascii="楷体" w:hAnsi="楷体" w:eastAsia="楷体" w:cs="楷体"/>
                <w:spacing w:val="-5"/>
                <w:sz w:val="20"/>
                <w:szCs w:val="20"/>
              </w:rPr>
            </w:pP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199B430E">
            <w:pPr>
              <w:spacing w:before="65" w:line="191"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2</w:t>
            </w:r>
          </w:p>
        </w:tc>
        <w:tc>
          <w:tcPr>
            <w:tcW w:w="808" w:type="dxa"/>
            <w:vMerge w:val="continue"/>
            <w:tcBorders>
              <w:left w:val="single" w:color="auto" w:sz="4" w:space="0"/>
              <w:bottom w:val="single" w:color="auto" w:sz="4" w:space="0"/>
              <w:right w:val="single" w:color="auto" w:sz="4" w:space="0"/>
            </w:tcBorders>
            <w:vAlign w:val="center"/>
          </w:tcPr>
          <w:p w14:paraId="062DFB2E">
            <w:pPr>
              <w:pStyle w:val="15"/>
              <w:jc w:val="center"/>
            </w:pP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30D95703">
            <w:pPr>
              <w:pStyle w:val="15"/>
              <w:jc w:val="center"/>
              <w:rPr>
                <w:rFonts w:ascii="Arial" w:hAnsi="Arial" w:eastAsia="Arial" w:cs="Arial"/>
                <w:snapToGrid w:val="0"/>
                <w:color w:val="000000"/>
                <w:kern w:val="0"/>
                <w:sz w:val="21"/>
                <w:szCs w:val="21"/>
                <w:lang w:val="en-US" w:eastAsia="en-US" w:bidi="ar-SA"/>
              </w:rPr>
            </w:pP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00F7EE3F">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1</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14:paraId="36A1D593">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1</w:t>
            </w:r>
          </w:p>
        </w:tc>
        <w:tc>
          <w:tcPr>
            <w:tcW w:w="961" w:type="dxa"/>
            <w:tcBorders>
              <w:top w:val="single" w:color="auto" w:sz="4" w:space="0"/>
              <w:left w:val="single" w:color="auto" w:sz="4" w:space="0"/>
              <w:bottom w:val="single" w:color="auto" w:sz="4" w:space="0"/>
              <w:right w:val="single" w:color="auto" w:sz="4" w:space="0"/>
            </w:tcBorders>
            <w:shd w:val="clear" w:color="auto" w:fill="auto"/>
            <w:vAlign w:val="center"/>
          </w:tcPr>
          <w:p w14:paraId="17A12268">
            <w:pPr>
              <w:spacing w:before="61" w:line="186" w:lineRule="auto"/>
              <w:jc w:val="center"/>
              <w:rPr>
                <w:rFonts w:ascii="Calibri" w:hAnsi="Calibri" w:eastAsia="Calibri" w:cs="Calibri"/>
                <w:snapToGrid w:val="0"/>
                <w:color w:val="000000"/>
                <w:kern w:val="0"/>
                <w:sz w:val="20"/>
                <w:szCs w:val="20"/>
                <w:lang w:val="en-US" w:eastAsia="en-US" w:bidi="ar-SA"/>
              </w:rPr>
            </w:pPr>
            <w:r>
              <w:rPr>
                <w:rFonts w:ascii="Calibri" w:hAnsi="Calibri" w:eastAsia="Calibri" w:cs="Calibri"/>
                <w:spacing w:val="-2"/>
                <w:sz w:val="20"/>
                <w:szCs w:val="20"/>
              </w:rPr>
              <w:t>20</w:t>
            </w:r>
          </w:p>
        </w:tc>
      </w:tr>
      <w:tr w14:paraId="16AC6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1017" w:type="dxa"/>
            <w:vMerge w:val="restart"/>
            <w:tcBorders>
              <w:top w:val="single" w:color="auto" w:sz="4" w:space="0"/>
              <w:left w:val="single" w:color="auto" w:sz="4" w:space="0"/>
              <w:bottom w:val="single" w:color="auto" w:sz="4" w:space="0"/>
              <w:right w:val="single" w:color="auto" w:sz="4" w:space="0"/>
            </w:tcBorders>
            <w:vAlign w:val="center"/>
          </w:tcPr>
          <w:p w14:paraId="745FE767">
            <w:pPr>
              <w:pStyle w:val="15"/>
              <w:jc w:val="center"/>
              <w:rPr>
                <w:rFonts w:hint="eastAsia" w:eastAsia="宋体"/>
                <w:lang w:val="en-US" w:eastAsia="zh-CN"/>
              </w:rPr>
            </w:pPr>
            <w:r>
              <w:rPr>
                <w:rFonts w:hint="eastAsia" w:eastAsia="宋体"/>
                <w:lang w:val="en-US" w:eastAsia="zh-CN"/>
              </w:rPr>
              <w:t>三</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EAAB7F8">
            <w:pPr>
              <w:spacing w:before="65" w:line="187"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pacing w:val="1"/>
                <w:sz w:val="20"/>
                <w:szCs w:val="20"/>
              </w:rPr>
              <w:t>5</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808C1A2">
            <w:pPr>
              <w:pStyle w:val="15"/>
              <w:jc w:val="center"/>
              <w:rPr>
                <w:rFonts w:ascii="Arial" w:hAnsi="Arial" w:eastAsia="Arial" w:cs="Arial"/>
                <w:snapToGrid w:val="0"/>
                <w:color w:val="000000"/>
                <w:kern w:val="0"/>
                <w:sz w:val="21"/>
                <w:szCs w:val="21"/>
                <w:lang w:val="en-US" w:eastAsia="en-US" w:bidi="ar-SA"/>
              </w:rPr>
            </w:pP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0482A235">
            <w:pPr>
              <w:pStyle w:val="15"/>
              <w:jc w:val="center"/>
              <w:rPr>
                <w:rFonts w:ascii="Arial" w:hAnsi="Arial" w:eastAsia="Arial" w:cs="Arial"/>
                <w:snapToGrid w:val="0"/>
                <w:color w:val="000000"/>
                <w:kern w:val="0"/>
                <w:sz w:val="21"/>
                <w:szCs w:val="21"/>
                <w:lang w:val="en-US" w:eastAsia="en-US" w:bidi="ar-SA"/>
              </w:rPr>
            </w:pP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31BCA8DD">
            <w:pPr>
              <w:pStyle w:val="15"/>
              <w:jc w:val="center"/>
              <w:rPr>
                <w:rFonts w:ascii="Arial" w:hAnsi="Arial" w:eastAsia="Arial" w:cs="Arial"/>
                <w:snapToGrid w:val="0"/>
                <w:color w:val="000000"/>
                <w:kern w:val="0"/>
                <w:sz w:val="21"/>
                <w:szCs w:val="21"/>
                <w:lang w:val="en-US" w:eastAsia="en-US" w:bidi="ar-SA"/>
              </w:rPr>
            </w:pP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720BDA2">
            <w:pPr>
              <w:pStyle w:val="15"/>
              <w:jc w:val="center"/>
              <w:rPr>
                <w:rFonts w:ascii="Arial" w:hAnsi="Arial" w:eastAsia="Arial" w:cs="Arial"/>
                <w:snapToGrid w:val="0"/>
                <w:color w:val="000000"/>
                <w:kern w:val="0"/>
                <w:sz w:val="21"/>
                <w:szCs w:val="21"/>
                <w:lang w:val="en-US" w:eastAsia="en-US" w:bidi="ar-SA"/>
              </w:rPr>
            </w:pPr>
          </w:p>
        </w:tc>
        <w:tc>
          <w:tcPr>
            <w:tcW w:w="914" w:type="dxa"/>
            <w:vMerge w:val="restart"/>
            <w:tcBorders>
              <w:top w:val="single" w:color="auto" w:sz="4" w:space="0"/>
              <w:left w:val="single" w:color="auto" w:sz="4" w:space="0"/>
              <w:right w:val="single" w:color="auto" w:sz="4" w:space="0"/>
            </w:tcBorders>
            <w:shd w:val="clear" w:color="auto" w:fill="auto"/>
            <w:vAlign w:val="center"/>
          </w:tcPr>
          <w:p w14:paraId="65902014">
            <w:pPr>
              <w:spacing w:before="65" w:line="191" w:lineRule="auto"/>
              <w:jc w:val="center"/>
              <w:rPr>
                <w:rFonts w:hint="default" w:ascii="楷体" w:hAnsi="楷体" w:eastAsia="楷体" w:cs="楷体"/>
                <w:snapToGrid w:val="0"/>
                <w:color w:val="000000"/>
                <w:kern w:val="0"/>
                <w:sz w:val="20"/>
                <w:szCs w:val="20"/>
                <w:lang w:val="en-US" w:eastAsia="zh-CN" w:bidi="ar-SA"/>
              </w:rPr>
            </w:pPr>
            <w:r>
              <w:rPr>
                <w:rFonts w:hint="eastAsia" w:ascii="楷体" w:hAnsi="楷体" w:eastAsia="楷体" w:cs="楷体"/>
                <w:snapToGrid w:val="0"/>
                <w:color w:val="000000"/>
                <w:kern w:val="0"/>
                <w:sz w:val="20"/>
                <w:szCs w:val="20"/>
                <w:lang w:val="en-US" w:eastAsia="zh-CN" w:bidi="ar-SA"/>
              </w:rPr>
              <w:t>40</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64034307">
            <w:pPr>
              <w:spacing w:before="65" w:line="191" w:lineRule="auto"/>
              <w:jc w:val="center"/>
              <w:rPr>
                <w:rFonts w:hint="eastAsia" w:ascii="楷体" w:hAnsi="楷体" w:eastAsia="楷体" w:cs="楷体"/>
                <w:snapToGrid w:val="0"/>
                <w:color w:val="000000"/>
                <w:kern w:val="0"/>
                <w:sz w:val="20"/>
                <w:szCs w:val="20"/>
                <w:lang w:val="en-US" w:eastAsia="zh-CN" w:bidi="ar-SA"/>
              </w:rPr>
            </w:pPr>
          </w:p>
        </w:tc>
        <w:tc>
          <w:tcPr>
            <w:tcW w:w="956" w:type="dxa"/>
            <w:vMerge w:val="restart"/>
            <w:tcBorders>
              <w:top w:val="single" w:color="auto" w:sz="4" w:space="0"/>
              <w:left w:val="single" w:color="auto" w:sz="4" w:space="0"/>
              <w:right w:val="single" w:color="auto" w:sz="4" w:space="0"/>
            </w:tcBorders>
            <w:shd w:val="clear" w:color="auto" w:fill="auto"/>
            <w:vAlign w:val="center"/>
          </w:tcPr>
          <w:p w14:paraId="051FB7E1">
            <w:pPr>
              <w:spacing w:before="65" w:line="191" w:lineRule="auto"/>
              <w:jc w:val="center"/>
              <w:rPr>
                <w:rFonts w:hint="eastAsia" w:ascii="楷体" w:hAnsi="楷体" w:eastAsia="楷体" w:cs="楷体"/>
                <w:snapToGrid w:val="0"/>
                <w:color w:val="000000"/>
                <w:kern w:val="0"/>
                <w:sz w:val="20"/>
                <w:szCs w:val="20"/>
                <w:lang w:val="en-US" w:eastAsia="zh-CN" w:bidi="ar-SA"/>
              </w:rPr>
            </w:pPr>
          </w:p>
        </w:tc>
        <w:tc>
          <w:tcPr>
            <w:tcW w:w="961" w:type="dxa"/>
            <w:vMerge w:val="restart"/>
            <w:tcBorders>
              <w:top w:val="single" w:color="auto" w:sz="4" w:space="0"/>
              <w:left w:val="single" w:color="auto" w:sz="4" w:space="0"/>
              <w:right w:val="single" w:color="auto" w:sz="4" w:space="0"/>
            </w:tcBorders>
            <w:shd w:val="clear" w:color="auto" w:fill="auto"/>
            <w:vAlign w:val="center"/>
          </w:tcPr>
          <w:p w14:paraId="48E74304">
            <w:pPr>
              <w:spacing w:before="65" w:line="191" w:lineRule="auto"/>
              <w:jc w:val="center"/>
              <w:rPr>
                <w:rFonts w:hint="default" w:ascii="楷体" w:hAnsi="楷体" w:eastAsia="楷体" w:cs="楷体"/>
                <w:snapToGrid w:val="0"/>
                <w:color w:val="000000"/>
                <w:kern w:val="0"/>
                <w:sz w:val="20"/>
                <w:szCs w:val="20"/>
                <w:lang w:val="en-US" w:eastAsia="zh-CN" w:bidi="ar-SA"/>
              </w:rPr>
            </w:pPr>
            <w:r>
              <w:rPr>
                <w:rFonts w:hint="eastAsia" w:ascii="楷体" w:hAnsi="楷体" w:eastAsia="楷体" w:cs="楷体"/>
                <w:snapToGrid w:val="0"/>
                <w:color w:val="000000"/>
                <w:kern w:val="0"/>
                <w:sz w:val="20"/>
                <w:szCs w:val="20"/>
                <w:lang w:val="en-US" w:eastAsia="zh-CN" w:bidi="ar-SA"/>
              </w:rPr>
              <w:t>40</w:t>
            </w:r>
          </w:p>
        </w:tc>
      </w:tr>
      <w:tr w14:paraId="647E6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1017" w:type="dxa"/>
            <w:vMerge w:val="continue"/>
            <w:tcBorders>
              <w:top w:val="single" w:color="auto" w:sz="4" w:space="0"/>
              <w:left w:val="single" w:color="auto" w:sz="4" w:space="0"/>
              <w:bottom w:val="single" w:color="auto" w:sz="4" w:space="0"/>
              <w:right w:val="single" w:color="auto" w:sz="4" w:space="0"/>
            </w:tcBorders>
            <w:vAlign w:val="center"/>
          </w:tcPr>
          <w:p w14:paraId="5D982BF0">
            <w:pPr>
              <w:pStyle w:val="15"/>
              <w:jc w:val="cente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00F1EB19">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sz w:val="20"/>
                <w:szCs w:val="20"/>
              </w:rPr>
              <w:t>6</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5CB4E468">
            <w:pPr>
              <w:pStyle w:val="15"/>
              <w:jc w:val="center"/>
              <w:rPr>
                <w:rFonts w:ascii="Arial" w:hAnsi="Arial" w:eastAsia="Arial" w:cs="Arial"/>
                <w:snapToGrid w:val="0"/>
                <w:color w:val="000000"/>
                <w:kern w:val="0"/>
                <w:sz w:val="21"/>
                <w:szCs w:val="21"/>
                <w:lang w:val="en-US" w:eastAsia="en-US" w:bidi="ar-SA"/>
              </w:rPr>
            </w:pP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11A01D07">
            <w:pPr>
              <w:pStyle w:val="15"/>
              <w:jc w:val="center"/>
              <w:rPr>
                <w:rFonts w:ascii="Arial" w:hAnsi="Arial" w:eastAsia="Arial" w:cs="Arial"/>
                <w:snapToGrid w:val="0"/>
                <w:color w:val="000000"/>
                <w:kern w:val="0"/>
                <w:sz w:val="21"/>
                <w:szCs w:val="21"/>
                <w:lang w:val="en-US" w:eastAsia="en-US" w:bidi="ar-SA"/>
              </w:rPr>
            </w:pP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761D6424">
            <w:pPr>
              <w:pStyle w:val="15"/>
              <w:jc w:val="center"/>
              <w:rPr>
                <w:rFonts w:ascii="Arial" w:hAnsi="Arial" w:eastAsia="Arial" w:cs="Arial"/>
                <w:snapToGrid w:val="0"/>
                <w:color w:val="000000"/>
                <w:kern w:val="0"/>
                <w:sz w:val="21"/>
                <w:szCs w:val="21"/>
                <w:lang w:val="en-US" w:eastAsia="en-US" w:bidi="ar-SA"/>
              </w:rPr>
            </w:pP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267BEC84">
            <w:pPr>
              <w:pStyle w:val="15"/>
              <w:jc w:val="center"/>
              <w:rPr>
                <w:rFonts w:ascii="Arial" w:hAnsi="Arial" w:eastAsia="Arial" w:cs="Arial"/>
                <w:snapToGrid w:val="0"/>
                <w:color w:val="000000"/>
                <w:kern w:val="0"/>
                <w:sz w:val="21"/>
                <w:szCs w:val="21"/>
                <w:lang w:val="en-US" w:eastAsia="en-US" w:bidi="ar-SA"/>
              </w:rPr>
            </w:pPr>
          </w:p>
        </w:tc>
        <w:tc>
          <w:tcPr>
            <w:tcW w:w="914" w:type="dxa"/>
            <w:vMerge w:val="continue"/>
            <w:tcBorders>
              <w:left w:val="single" w:color="auto" w:sz="4" w:space="0"/>
              <w:bottom w:val="single" w:color="auto" w:sz="4" w:space="0"/>
              <w:right w:val="single" w:color="auto" w:sz="4" w:space="0"/>
            </w:tcBorders>
            <w:shd w:val="clear" w:color="auto" w:fill="auto"/>
            <w:vAlign w:val="center"/>
          </w:tcPr>
          <w:p w14:paraId="0E661FDF">
            <w:pPr>
              <w:spacing w:before="65" w:line="191" w:lineRule="auto"/>
              <w:jc w:val="center"/>
              <w:rPr>
                <w:rFonts w:hint="eastAsia" w:ascii="楷体" w:hAnsi="楷体" w:eastAsia="楷体" w:cs="楷体"/>
                <w:snapToGrid w:val="0"/>
                <w:color w:val="000000"/>
                <w:kern w:val="0"/>
                <w:sz w:val="20"/>
                <w:szCs w:val="20"/>
                <w:lang w:val="en-US" w:eastAsia="zh-CN" w:bidi="ar-SA"/>
              </w:rPr>
            </w:pP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C89647A">
            <w:pPr>
              <w:spacing w:before="65" w:line="191" w:lineRule="auto"/>
              <w:jc w:val="center"/>
              <w:rPr>
                <w:rFonts w:hint="eastAsia" w:ascii="楷体" w:hAnsi="楷体" w:eastAsia="楷体" w:cs="楷体"/>
                <w:snapToGrid w:val="0"/>
                <w:color w:val="000000"/>
                <w:kern w:val="0"/>
                <w:sz w:val="20"/>
                <w:szCs w:val="20"/>
                <w:lang w:val="en-US" w:eastAsia="zh-CN" w:bidi="ar-SA"/>
              </w:rPr>
            </w:pPr>
          </w:p>
        </w:tc>
        <w:tc>
          <w:tcPr>
            <w:tcW w:w="956" w:type="dxa"/>
            <w:vMerge w:val="continue"/>
            <w:tcBorders>
              <w:left w:val="single" w:color="auto" w:sz="4" w:space="0"/>
              <w:bottom w:val="single" w:color="auto" w:sz="4" w:space="0"/>
              <w:right w:val="single" w:color="auto" w:sz="4" w:space="0"/>
            </w:tcBorders>
            <w:shd w:val="clear" w:color="auto" w:fill="auto"/>
            <w:vAlign w:val="center"/>
          </w:tcPr>
          <w:p w14:paraId="74DA6912">
            <w:pPr>
              <w:spacing w:before="65" w:line="191" w:lineRule="auto"/>
              <w:jc w:val="center"/>
              <w:rPr>
                <w:rFonts w:hint="eastAsia" w:ascii="楷体" w:hAnsi="楷体" w:eastAsia="楷体" w:cs="楷体"/>
                <w:snapToGrid w:val="0"/>
                <w:color w:val="000000"/>
                <w:kern w:val="0"/>
                <w:sz w:val="20"/>
                <w:szCs w:val="20"/>
                <w:lang w:val="en-US" w:eastAsia="zh-CN" w:bidi="ar-SA"/>
              </w:rPr>
            </w:pPr>
          </w:p>
        </w:tc>
        <w:tc>
          <w:tcPr>
            <w:tcW w:w="961" w:type="dxa"/>
            <w:vMerge w:val="continue"/>
            <w:tcBorders>
              <w:left w:val="single" w:color="auto" w:sz="4" w:space="0"/>
              <w:bottom w:val="single" w:color="auto" w:sz="4" w:space="0"/>
              <w:right w:val="single" w:color="auto" w:sz="4" w:space="0"/>
            </w:tcBorders>
            <w:shd w:val="clear" w:color="auto" w:fill="auto"/>
            <w:vAlign w:val="center"/>
          </w:tcPr>
          <w:p w14:paraId="611E2845">
            <w:pPr>
              <w:spacing w:before="65" w:line="191" w:lineRule="auto"/>
              <w:jc w:val="center"/>
              <w:rPr>
                <w:rFonts w:hint="eastAsia" w:ascii="楷体" w:hAnsi="楷体" w:eastAsia="楷体" w:cs="楷体"/>
                <w:snapToGrid w:val="0"/>
                <w:color w:val="000000"/>
                <w:kern w:val="0"/>
                <w:sz w:val="20"/>
                <w:szCs w:val="20"/>
                <w:lang w:val="en-US" w:eastAsia="zh-CN" w:bidi="ar-SA"/>
              </w:rPr>
            </w:pPr>
          </w:p>
        </w:tc>
      </w:tr>
      <w:tr w14:paraId="6D537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jc w:val="center"/>
        </w:trPr>
        <w:tc>
          <w:tcPr>
            <w:tcW w:w="20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E32514">
            <w:pPr>
              <w:spacing w:before="65" w:line="190" w:lineRule="auto"/>
              <w:jc w:val="center"/>
              <w:rPr>
                <w:rFonts w:ascii="楷体" w:hAnsi="楷体" w:eastAsia="楷体" w:cs="楷体"/>
                <w:snapToGrid w:val="0"/>
                <w:color w:val="000000"/>
                <w:kern w:val="0"/>
                <w:sz w:val="20"/>
                <w:szCs w:val="20"/>
                <w:lang w:val="en-US" w:eastAsia="en-US" w:bidi="ar-SA"/>
              </w:rPr>
            </w:pPr>
            <w:r>
              <w:rPr>
                <w:rFonts w:ascii="楷体" w:hAnsi="楷体" w:eastAsia="楷体" w:cs="楷体"/>
                <w:b/>
                <w:bCs/>
                <w:spacing w:val="1"/>
                <w:sz w:val="20"/>
                <w:szCs w:val="20"/>
              </w:rPr>
              <w:t>总计</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12F47085">
            <w:pPr>
              <w:spacing w:before="65" w:line="190" w:lineRule="auto"/>
              <w:jc w:val="center"/>
              <w:rPr>
                <w:rFonts w:hint="eastAsia" w:ascii="楷体" w:hAnsi="楷体" w:eastAsia="楷体" w:cs="楷体"/>
                <w:spacing w:val="1"/>
                <w:sz w:val="20"/>
                <w:szCs w:val="20"/>
                <w:lang w:val="en-US" w:eastAsia="zh-CN"/>
              </w:rPr>
            </w:pPr>
            <w:r>
              <w:rPr>
                <w:rFonts w:hint="eastAsia" w:ascii="楷体" w:hAnsi="楷体" w:eastAsia="楷体" w:cs="楷体"/>
                <w:spacing w:val="1"/>
                <w:sz w:val="20"/>
                <w:szCs w:val="20"/>
                <w:lang w:val="en-US" w:eastAsia="zh-CN"/>
              </w:rPr>
              <w:t>2</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0E85819">
            <w:pPr>
              <w:spacing w:before="65" w:line="190" w:lineRule="auto"/>
              <w:jc w:val="center"/>
              <w:rPr>
                <w:rFonts w:hint="eastAsia" w:ascii="楷体" w:hAnsi="楷体" w:eastAsia="楷体" w:cs="楷体"/>
                <w:snapToGrid w:val="0"/>
                <w:color w:val="000000"/>
                <w:kern w:val="0"/>
                <w:sz w:val="20"/>
                <w:szCs w:val="20"/>
                <w:lang w:val="en-US" w:eastAsia="en-US" w:bidi="ar-SA"/>
              </w:rPr>
            </w:pPr>
            <w:r>
              <w:rPr>
                <w:rFonts w:ascii="楷体" w:hAnsi="楷体" w:eastAsia="楷体" w:cs="楷体"/>
                <w:spacing w:val="1"/>
                <w:sz w:val="20"/>
                <w:szCs w:val="20"/>
              </w:rPr>
              <w:t>6</w:t>
            </w:r>
            <w:r>
              <w:rPr>
                <w:rFonts w:hint="eastAsia" w:ascii="楷体" w:hAnsi="楷体" w:eastAsia="楷体" w:cs="楷体"/>
                <w:spacing w:val="1"/>
                <w:sz w:val="20"/>
                <w:szCs w:val="20"/>
                <w:lang w:val="en-US" w:eastAsia="zh-CN"/>
              </w:rPr>
              <w:t>3</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456C540D">
            <w:pPr>
              <w:spacing w:before="65" w:line="190" w:lineRule="auto"/>
              <w:jc w:val="center"/>
              <w:rPr>
                <w:rFonts w:hint="eastAsia" w:ascii="楷体" w:hAnsi="楷体" w:eastAsia="楷体" w:cs="楷体"/>
                <w:snapToGrid w:val="0"/>
                <w:color w:val="000000"/>
                <w:kern w:val="0"/>
                <w:sz w:val="20"/>
                <w:szCs w:val="20"/>
                <w:lang w:val="en-US" w:eastAsia="en-US" w:bidi="ar-SA"/>
              </w:rPr>
            </w:pPr>
            <w:r>
              <w:rPr>
                <w:rFonts w:hint="eastAsia" w:ascii="楷体" w:hAnsi="楷体" w:eastAsia="楷体" w:cs="楷体"/>
                <w:sz w:val="20"/>
                <w:szCs w:val="20"/>
                <w:lang w:val="en-US" w:eastAsia="zh-CN"/>
              </w:rPr>
              <w:t>7</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00488F5C">
            <w:pPr>
              <w:spacing w:before="65" w:line="190" w:lineRule="auto"/>
              <w:jc w:val="center"/>
              <w:rPr>
                <w:rFonts w:hint="eastAsia" w:ascii="Arial" w:hAnsi="Arial" w:eastAsia="宋体" w:cs="Arial"/>
                <w:snapToGrid w:val="0"/>
                <w:color w:val="000000"/>
                <w:kern w:val="0"/>
                <w:sz w:val="21"/>
                <w:szCs w:val="21"/>
                <w:lang w:val="en-US" w:eastAsia="en-US" w:bidi="ar-SA"/>
              </w:rPr>
            </w:pPr>
            <w:r>
              <w:rPr>
                <w:rFonts w:hint="eastAsia" w:ascii="楷体" w:hAnsi="楷体" w:eastAsia="楷体" w:cs="楷体"/>
                <w:sz w:val="20"/>
                <w:szCs w:val="20"/>
                <w:lang w:val="en-US" w:eastAsia="zh-CN"/>
              </w:rPr>
              <w:t>1</w:t>
            </w:r>
          </w:p>
        </w:tc>
        <w:tc>
          <w:tcPr>
            <w:tcW w:w="914" w:type="dxa"/>
            <w:tcBorders>
              <w:top w:val="single" w:color="auto" w:sz="4" w:space="0"/>
              <w:left w:val="single" w:color="auto" w:sz="4" w:space="0"/>
              <w:bottom w:val="single" w:color="auto" w:sz="4" w:space="0"/>
              <w:right w:val="single" w:color="auto" w:sz="4" w:space="0"/>
            </w:tcBorders>
            <w:shd w:val="clear" w:color="auto" w:fill="auto"/>
            <w:vAlign w:val="center"/>
          </w:tcPr>
          <w:p w14:paraId="6091B923">
            <w:pPr>
              <w:spacing w:before="65" w:line="191" w:lineRule="auto"/>
              <w:jc w:val="center"/>
              <w:rPr>
                <w:rFonts w:hint="default" w:ascii="楷体" w:hAnsi="楷体" w:eastAsia="楷体" w:cs="楷体"/>
                <w:snapToGrid w:val="0"/>
                <w:color w:val="000000"/>
                <w:kern w:val="0"/>
                <w:sz w:val="20"/>
                <w:szCs w:val="20"/>
                <w:lang w:val="en-US" w:eastAsia="zh-CN" w:bidi="ar-SA"/>
              </w:rPr>
            </w:pPr>
            <w:r>
              <w:rPr>
                <w:rFonts w:hint="eastAsia" w:ascii="楷体" w:hAnsi="楷体" w:eastAsia="楷体" w:cs="楷体"/>
                <w:snapToGrid w:val="0"/>
                <w:color w:val="000000"/>
                <w:kern w:val="0"/>
                <w:sz w:val="20"/>
                <w:szCs w:val="20"/>
                <w:lang w:val="en-US" w:eastAsia="zh-CN" w:bidi="ar-SA"/>
              </w:rPr>
              <w:t>40</w:t>
            </w:r>
          </w:p>
        </w:tc>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57322987">
            <w:pPr>
              <w:spacing w:before="65" w:line="191" w:lineRule="auto"/>
              <w:jc w:val="center"/>
              <w:rPr>
                <w:rFonts w:hint="eastAsia" w:ascii="楷体" w:hAnsi="楷体" w:eastAsia="楷体" w:cs="楷体"/>
                <w:snapToGrid w:val="0"/>
                <w:color w:val="000000"/>
                <w:kern w:val="0"/>
                <w:sz w:val="20"/>
                <w:szCs w:val="20"/>
                <w:lang w:val="en-US" w:eastAsia="zh-CN" w:bidi="ar-SA"/>
              </w:rPr>
            </w:pPr>
            <w:r>
              <w:rPr>
                <w:rFonts w:hint="eastAsia" w:ascii="楷体" w:hAnsi="楷体" w:eastAsia="楷体" w:cs="楷体"/>
                <w:sz w:val="20"/>
                <w:szCs w:val="20"/>
                <w:lang w:val="en-US" w:eastAsia="zh-CN"/>
              </w:rPr>
              <w:t>4</w:t>
            </w:r>
          </w:p>
        </w:tc>
        <w:tc>
          <w:tcPr>
            <w:tcW w:w="956" w:type="dxa"/>
            <w:tcBorders>
              <w:top w:val="single" w:color="auto" w:sz="4" w:space="0"/>
              <w:left w:val="single" w:color="auto" w:sz="4" w:space="0"/>
              <w:bottom w:val="single" w:color="auto" w:sz="4" w:space="0"/>
              <w:right w:val="single" w:color="auto" w:sz="4" w:space="0"/>
            </w:tcBorders>
            <w:shd w:val="clear" w:color="auto" w:fill="auto"/>
            <w:vAlign w:val="center"/>
          </w:tcPr>
          <w:p w14:paraId="55BA1BEF">
            <w:pPr>
              <w:spacing w:before="65" w:line="191" w:lineRule="auto"/>
              <w:jc w:val="center"/>
              <w:rPr>
                <w:rFonts w:hint="eastAsia" w:ascii="楷体" w:hAnsi="楷体" w:eastAsia="楷体" w:cs="楷体"/>
                <w:snapToGrid w:val="0"/>
                <w:color w:val="000000"/>
                <w:kern w:val="0"/>
                <w:sz w:val="20"/>
                <w:szCs w:val="20"/>
                <w:lang w:val="en-US" w:eastAsia="zh-CN" w:bidi="ar-SA"/>
              </w:rPr>
            </w:pPr>
            <w:r>
              <w:rPr>
                <w:rFonts w:hint="eastAsia" w:ascii="楷体" w:hAnsi="楷体" w:eastAsia="楷体" w:cs="楷体"/>
                <w:sz w:val="20"/>
                <w:szCs w:val="20"/>
                <w:lang w:val="en-US" w:eastAsia="zh-CN"/>
              </w:rPr>
              <w:t>3</w:t>
            </w:r>
          </w:p>
        </w:tc>
        <w:tc>
          <w:tcPr>
            <w:tcW w:w="961" w:type="dxa"/>
            <w:tcBorders>
              <w:top w:val="single" w:color="auto" w:sz="4" w:space="0"/>
              <w:left w:val="single" w:color="auto" w:sz="4" w:space="0"/>
              <w:bottom w:val="single" w:color="auto" w:sz="4" w:space="0"/>
              <w:right w:val="single" w:color="auto" w:sz="4" w:space="0"/>
            </w:tcBorders>
            <w:shd w:val="clear" w:color="auto" w:fill="auto"/>
            <w:vAlign w:val="center"/>
          </w:tcPr>
          <w:p w14:paraId="461D465D">
            <w:pPr>
              <w:spacing w:before="65" w:line="191" w:lineRule="auto"/>
              <w:jc w:val="center"/>
              <w:rPr>
                <w:rFonts w:hint="default" w:ascii="楷体" w:hAnsi="楷体" w:eastAsia="楷体" w:cs="楷体"/>
                <w:snapToGrid w:val="0"/>
                <w:color w:val="000000"/>
                <w:kern w:val="0"/>
                <w:sz w:val="20"/>
                <w:szCs w:val="20"/>
                <w:lang w:val="en-US" w:eastAsia="zh-CN" w:bidi="ar-SA"/>
              </w:rPr>
            </w:pPr>
            <w:r>
              <w:rPr>
                <w:rFonts w:hint="eastAsia" w:ascii="楷体" w:hAnsi="楷体" w:eastAsia="楷体" w:cs="楷体"/>
                <w:sz w:val="20"/>
                <w:szCs w:val="20"/>
                <w:lang w:val="en-US" w:eastAsia="zh-CN"/>
              </w:rPr>
              <w:t>120</w:t>
            </w:r>
          </w:p>
        </w:tc>
      </w:tr>
    </w:tbl>
    <w:p w14:paraId="6546632F">
      <w:pPr>
        <w:rPr>
          <w:rFonts w:ascii="Arial"/>
          <w:sz w:val="21"/>
        </w:rPr>
      </w:pPr>
    </w:p>
    <w:p w14:paraId="205AD9AD">
      <w:pPr>
        <w:pStyle w:val="3"/>
        <w:bidi w:val="0"/>
        <w:rPr>
          <w:rFonts w:hint="eastAsia"/>
          <w:lang w:val="en-US" w:eastAsia="zh-CN"/>
        </w:rPr>
      </w:pPr>
      <w:bookmarkStart w:id="27" w:name="_Toc18056"/>
      <w:bookmarkStart w:id="28" w:name="_Toc26024"/>
      <w:r>
        <w:rPr>
          <w:rFonts w:hint="eastAsia"/>
          <w:lang w:val="en-US" w:eastAsia="zh-CN"/>
        </w:rPr>
        <w:t>（二）教学计划进程表</w:t>
      </w:r>
      <w:bookmarkEnd w:id="27"/>
      <w:bookmarkEnd w:id="28"/>
    </w:p>
    <w:p w14:paraId="3931A9E8">
      <w:pPr>
        <w:pStyle w:val="5"/>
        <w:spacing w:line="240" w:lineRule="auto"/>
        <w:jc w:val="center"/>
        <w:rPr>
          <w:rFonts w:hint="eastAsia"/>
          <w:b/>
          <w:bCs/>
          <w:spacing w:val="5"/>
          <w:lang w:val="en-US" w:eastAsia="zh-CN"/>
        </w:rPr>
      </w:pPr>
      <w:r>
        <w:rPr>
          <w:rFonts w:hint="eastAsia"/>
          <w:b/>
          <w:bCs/>
          <w:spacing w:val="5"/>
          <w:lang w:val="en-US" w:eastAsia="zh-CN"/>
        </w:rPr>
        <w:t>2026级临床医学专业教学计划进程表</w:t>
      </w:r>
    </w:p>
    <w:tbl>
      <w:tblPr>
        <w:tblStyle w:val="9"/>
        <w:tblpPr w:leftFromText="180" w:rightFromText="180" w:vertAnchor="text" w:horzAnchor="page" w:tblpX="1207" w:tblpY="419"/>
        <w:tblOverlap w:val="never"/>
        <w:tblW w:w="98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5"/>
        <w:gridCol w:w="1720"/>
        <w:gridCol w:w="397"/>
        <w:gridCol w:w="351"/>
        <w:gridCol w:w="1391"/>
        <w:gridCol w:w="585"/>
        <w:gridCol w:w="753"/>
        <w:gridCol w:w="590"/>
        <w:gridCol w:w="595"/>
        <w:gridCol w:w="604"/>
        <w:gridCol w:w="631"/>
        <w:gridCol w:w="617"/>
        <w:gridCol w:w="669"/>
        <w:gridCol w:w="673"/>
      </w:tblGrid>
      <w:tr w14:paraId="6797F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7100B">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课程</w:t>
            </w:r>
            <w:r>
              <w:rPr>
                <w:rFonts w:hint="eastAsia" w:ascii="宋体" w:hAnsi="宋体" w:eastAsia="宋体" w:cs="宋体"/>
                <w:b/>
                <w:bCs/>
                <w:i w:val="0"/>
                <w:iCs w:val="0"/>
                <w:color w:val="000000"/>
                <w:kern w:val="0"/>
                <w:sz w:val="14"/>
                <w:szCs w:val="14"/>
                <w:u w:val="none"/>
                <w:lang w:val="en-US" w:eastAsia="zh-CN"/>
              </w:rPr>
              <w:br w:type="textWrapping"/>
            </w:r>
            <w:r>
              <w:rPr>
                <w:rFonts w:hint="eastAsia" w:ascii="宋体" w:hAnsi="宋体" w:eastAsia="宋体" w:cs="宋体"/>
                <w:b/>
                <w:bCs/>
                <w:i w:val="0"/>
                <w:iCs w:val="0"/>
                <w:color w:val="000000"/>
                <w:kern w:val="0"/>
                <w:sz w:val="14"/>
                <w:szCs w:val="14"/>
                <w:u w:val="none"/>
                <w:lang w:val="en-US" w:eastAsia="zh-CN"/>
              </w:rPr>
              <w:t>模块</w:t>
            </w:r>
          </w:p>
        </w:tc>
        <w:tc>
          <w:tcPr>
            <w:tcW w:w="1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3E1B0">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课程名称</w:t>
            </w:r>
          </w:p>
        </w:tc>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77AE2">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考核方式</w:t>
            </w:r>
          </w:p>
        </w:tc>
        <w:tc>
          <w:tcPr>
            <w:tcW w:w="3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BA972">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考试学期</w:t>
            </w:r>
          </w:p>
        </w:tc>
        <w:tc>
          <w:tcPr>
            <w:tcW w:w="1391" w:type="dxa"/>
            <w:vMerge w:val="restart"/>
            <w:tcBorders>
              <w:top w:val="single" w:color="000000" w:sz="4" w:space="0"/>
              <w:left w:val="single" w:color="000000" w:sz="4" w:space="0"/>
              <w:right w:val="single" w:color="000000" w:sz="4" w:space="0"/>
            </w:tcBorders>
            <w:shd w:val="clear" w:color="auto" w:fill="auto"/>
            <w:vAlign w:val="center"/>
          </w:tcPr>
          <w:p w14:paraId="2A6EBC7E">
            <w:pPr>
              <w:spacing w:line="240" w:lineRule="auto"/>
              <w:jc w:val="center"/>
              <w:rPr>
                <w:rFonts w:hint="default" w:ascii="宋体" w:hAnsi="宋体" w:eastAsia="宋体" w:cs="宋体"/>
                <w:b/>
                <w:bCs/>
                <w:i w:val="0"/>
                <w:iCs w:val="0"/>
                <w:color w:val="000000"/>
                <w:kern w:val="0"/>
                <w:sz w:val="14"/>
                <w:szCs w:val="14"/>
                <w:u w:val="none"/>
                <w:lang w:val="en-US" w:eastAsia="zh-CN"/>
              </w:rPr>
            </w:pPr>
            <w:r>
              <w:rPr>
                <w:rFonts w:hint="eastAsia" w:ascii="宋体" w:hAnsi="宋体" w:eastAsia="宋体" w:cs="宋体"/>
                <w:b/>
                <w:bCs/>
                <w:i w:val="0"/>
                <w:iCs w:val="0"/>
                <w:color w:val="000000"/>
                <w:kern w:val="0"/>
                <w:sz w:val="14"/>
                <w:szCs w:val="14"/>
                <w:u w:val="none"/>
                <w:lang w:val="en-US" w:eastAsia="zh-CN"/>
              </w:rPr>
              <w:t>开课单位</w:t>
            </w:r>
          </w:p>
        </w:tc>
        <w:tc>
          <w:tcPr>
            <w:tcW w:w="585" w:type="dxa"/>
            <w:vMerge w:val="restart"/>
            <w:tcBorders>
              <w:top w:val="single" w:color="000000" w:sz="4" w:space="0"/>
              <w:left w:val="single" w:color="000000" w:sz="4" w:space="0"/>
              <w:right w:val="single" w:color="000000" w:sz="4" w:space="0"/>
            </w:tcBorders>
            <w:shd w:val="clear" w:color="auto" w:fill="auto"/>
            <w:vAlign w:val="center"/>
          </w:tcPr>
          <w:p w14:paraId="40A8B72E">
            <w:pPr>
              <w:spacing w:line="240" w:lineRule="auto"/>
              <w:jc w:val="center"/>
              <w:rPr>
                <w:rFonts w:hint="eastAsia" w:ascii="宋体" w:hAnsi="宋体" w:eastAsia="宋体" w:cs="宋体"/>
                <w:b/>
                <w:bCs/>
                <w:i w:val="0"/>
                <w:iCs w:val="0"/>
                <w:color w:val="000000"/>
                <w:kern w:val="0"/>
                <w:sz w:val="14"/>
                <w:szCs w:val="14"/>
                <w:u w:val="none"/>
                <w:lang w:val="en-US" w:eastAsia="zh-CN"/>
              </w:rPr>
            </w:pPr>
            <w:r>
              <w:rPr>
                <w:rFonts w:hint="eastAsia" w:ascii="宋体" w:hAnsi="宋体" w:eastAsia="宋体" w:cs="宋体"/>
                <w:b/>
                <w:bCs/>
                <w:i w:val="0"/>
                <w:iCs w:val="0"/>
                <w:color w:val="000000"/>
                <w:kern w:val="0"/>
                <w:sz w:val="14"/>
                <w:szCs w:val="14"/>
                <w:u w:val="none"/>
                <w:lang w:val="en-US" w:eastAsia="zh-CN"/>
              </w:rPr>
              <w:t>学分</w:t>
            </w:r>
          </w:p>
        </w:tc>
        <w:tc>
          <w:tcPr>
            <w:tcW w:w="1938" w:type="dxa"/>
            <w:gridSpan w:val="3"/>
            <w:vMerge w:val="restart"/>
            <w:tcBorders>
              <w:top w:val="single" w:color="000000" w:sz="4" w:space="0"/>
              <w:left w:val="single" w:color="000000" w:sz="4" w:space="0"/>
              <w:right w:val="single" w:color="000000" w:sz="4" w:space="0"/>
            </w:tcBorders>
            <w:shd w:val="clear" w:color="auto" w:fill="auto"/>
            <w:vAlign w:val="center"/>
          </w:tcPr>
          <w:p w14:paraId="648D1BB6">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学时数</w:t>
            </w:r>
          </w:p>
        </w:tc>
        <w:tc>
          <w:tcPr>
            <w:tcW w:w="3194" w:type="dxa"/>
            <w:gridSpan w:val="5"/>
            <w:tcBorders>
              <w:top w:val="single" w:color="000000" w:sz="4" w:space="0"/>
              <w:left w:val="single" w:color="000000" w:sz="4" w:space="0"/>
              <w:bottom w:val="single" w:color="000000" w:sz="4" w:space="0"/>
              <w:right w:val="single" w:color="auto" w:sz="4" w:space="0"/>
            </w:tcBorders>
            <w:shd w:val="clear" w:color="auto" w:fill="auto"/>
            <w:vAlign w:val="center"/>
          </w:tcPr>
          <w:p w14:paraId="66F189A6">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按学年及学期分配</w:t>
            </w:r>
          </w:p>
        </w:tc>
      </w:tr>
      <w:tr w14:paraId="3B8F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B776A">
            <w:pPr>
              <w:spacing w:line="240" w:lineRule="auto"/>
              <w:jc w:val="center"/>
              <w:rPr>
                <w:rFonts w:hint="eastAsia" w:ascii="宋体" w:hAnsi="宋体" w:eastAsia="宋体" w:cs="宋体"/>
                <w:b/>
                <w:bCs/>
                <w:i w:val="0"/>
                <w:iCs w:val="0"/>
                <w:color w:val="000000"/>
                <w:kern w:val="0"/>
                <w:sz w:val="14"/>
                <w:szCs w:val="14"/>
                <w:u w:val="none"/>
              </w:rPr>
            </w:pP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7060">
            <w:pPr>
              <w:spacing w:line="240" w:lineRule="auto"/>
              <w:jc w:val="center"/>
              <w:rPr>
                <w:rFonts w:hint="eastAsia" w:ascii="宋体" w:hAnsi="宋体" w:eastAsia="宋体" w:cs="宋体"/>
                <w:b/>
                <w:bCs/>
                <w:i w:val="0"/>
                <w:iCs w:val="0"/>
                <w:color w:val="000000"/>
                <w:kern w:val="0"/>
                <w:sz w:val="14"/>
                <w:szCs w:val="14"/>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D7FA9">
            <w:pPr>
              <w:spacing w:line="240" w:lineRule="auto"/>
              <w:jc w:val="center"/>
              <w:rPr>
                <w:rFonts w:hint="eastAsia" w:ascii="宋体" w:hAnsi="宋体" w:eastAsia="宋体" w:cs="宋体"/>
                <w:b/>
                <w:bCs/>
                <w:i w:val="0"/>
                <w:iCs w:val="0"/>
                <w:color w:val="000000"/>
                <w:kern w:val="0"/>
                <w:sz w:val="14"/>
                <w:szCs w:val="14"/>
                <w:u w:val="none"/>
              </w:rPr>
            </w:pPr>
          </w:p>
        </w:tc>
        <w:tc>
          <w:tcPr>
            <w:tcW w:w="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42A14">
            <w:pPr>
              <w:spacing w:line="240" w:lineRule="auto"/>
              <w:jc w:val="center"/>
              <w:rPr>
                <w:rFonts w:hint="eastAsia" w:ascii="宋体" w:hAnsi="宋体" w:eastAsia="宋体" w:cs="宋体"/>
                <w:b/>
                <w:bCs/>
                <w:i w:val="0"/>
                <w:iCs w:val="0"/>
                <w:color w:val="000000"/>
                <w:kern w:val="0"/>
                <w:sz w:val="14"/>
                <w:szCs w:val="14"/>
                <w:u w:val="none"/>
              </w:rPr>
            </w:pPr>
          </w:p>
        </w:tc>
        <w:tc>
          <w:tcPr>
            <w:tcW w:w="1391" w:type="dxa"/>
            <w:vMerge w:val="continue"/>
            <w:tcBorders>
              <w:left w:val="single" w:color="000000" w:sz="4" w:space="0"/>
              <w:right w:val="single" w:color="000000" w:sz="4" w:space="0"/>
            </w:tcBorders>
            <w:shd w:val="clear" w:color="auto" w:fill="auto"/>
            <w:vAlign w:val="top"/>
          </w:tcPr>
          <w:p w14:paraId="0CBC2F72">
            <w:pPr>
              <w:spacing w:line="240" w:lineRule="auto"/>
              <w:jc w:val="center"/>
              <w:rPr>
                <w:rFonts w:hint="eastAsia" w:ascii="宋体" w:hAnsi="宋体" w:eastAsia="宋体" w:cs="宋体"/>
                <w:b/>
                <w:bCs/>
                <w:i w:val="0"/>
                <w:iCs w:val="0"/>
                <w:color w:val="000000"/>
                <w:kern w:val="0"/>
                <w:sz w:val="14"/>
                <w:szCs w:val="14"/>
                <w:u w:val="none"/>
              </w:rPr>
            </w:pPr>
          </w:p>
        </w:tc>
        <w:tc>
          <w:tcPr>
            <w:tcW w:w="585" w:type="dxa"/>
            <w:vMerge w:val="continue"/>
            <w:tcBorders>
              <w:left w:val="single" w:color="000000" w:sz="4" w:space="0"/>
              <w:right w:val="single" w:color="000000" w:sz="4" w:space="0"/>
            </w:tcBorders>
            <w:shd w:val="clear" w:color="auto" w:fill="auto"/>
            <w:vAlign w:val="top"/>
          </w:tcPr>
          <w:p w14:paraId="0E3402E1">
            <w:pPr>
              <w:spacing w:line="240" w:lineRule="auto"/>
              <w:jc w:val="center"/>
              <w:rPr>
                <w:rFonts w:hint="eastAsia" w:ascii="宋体" w:hAnsi="宋体" w:eastAsia="宋体" w:cs="宋体"/>
                <w:b/>
                <w:bCs/>
                <w:i w:val="0"/>
                <w:iCs w:val="0"/>
                <w:color w:val="000000"/>
                <w:kern w:val="0"/>
                <w:sz w:val="14"/>
                <w:szCs w:val="14"/>
                <w:u w:val="none"/>
              </w:rPr>
            </w:pPr>
          </w:p>
        </w:tc>
        <w:tc>
          <w:tcPr>
            <w:tcW w:w="1938" w:type="dxa"/>
            <w:gridSpan w:val="3"/>
            <w:vMerge w:val="continue"/>
            <w:tcBorders>
              <w:left w:val="single" w:color="000000" w:sz="4" w:space="0"/>
              <w:bottom w:val="single" w:color="000000" w:sz="4" w:space="0"/>
              <w:right w:val="single" w:color="000000" w:sz="4" w:space="0"/>
            </w:tcBorders>
            <w:shd w:val="clear" w:color="auto" w:fill="auto"/>
            <w:vAlign w:val="top"/>
          </w:tcPr>
          <w:p w14:paraId="1A9463D8">
            <w:pPr>
              <w:spacing w:line="240" w:lineRule="auto"/>
              <w:jc w:val="center"/>
              <w:rPr>
                <w:rFonts w:hint="default" w:ascii="宋体" w:hAnsi="宋体" w:eastAsia="宋体" w:cs="宋体"/>
                <w:b/>
                <w:bCs/>
                <w:i w:val="0"/>
                <w:iCs w:val="0"/>
                <w:color w:val="000000"/>
                <w:kern w:val="0"/>
                <w:sz w:val="14"/>
                <w:szCs w:val="14"/>
                <w:u w:val="none"/>
              </w:rPr>
            </w:pPr>
          </w:p>
        </w:tc>
        <w:tc>
          <w:tcPr>
            <w:tcW w:w="12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EA5EB">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第一学年</w:t>
            </w:r>
          </w:p>
        </w:tc>
        <w:tc>
          <w:tcPr>
            <w:tcW w:w="1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9CF49">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第二学年</w:t>
            </w:r>
          </w:p>
        </w:tc>
        <w:tc>
          <w:tcPr>
            <w:tcW w:w="673" w:type="dxa"/>
            <w:tcBorders>
              <w:top w:val="single" w:color="000000" w:sz="4" w:space="0"/>
              <w:left w:val="single" w:color="000000" w:sz="4" w:space="0"/>
              <w:bottom w:val="single" w:color="000000" w:sz="4" w:space="0"/>
              <w:right w:val="single" w:color="auto" w:sz="4" w:space="0"/>
            </w:tcBorders>
            <w:shd w:val="clear" w:color="auto" w:fill="auto"/>
            <w:vAlign w:val="center"/>
          </w:tcPr>
          <w:p w14:paraId="71DB53CC">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第三学年</w:t>
            </w:r>
          </w:p>
        </w:tc>
      </w:tr>
      <w:tr w14:paraId="6FDD3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2537D">
            <w:pPr>
              <w:spacing w:line="240" w:lineRule="auto"/>
              <w:jc w:val="center"/>
              <w:rPr>
                <w:rFonts w:hint="eastAsia" w:ascii="宋体" w:hAnsi="宋体" w:eastAsia="宋体" w:cs="宋体"/>
                <w:b/>
                <w:bCs/>
                <w:i w:val="0"/>
                <w:iCs w:val="0"/>
                <w:color w:val="000000"/>
                <w:kern w:val="0"/>
                <w:sz w:val="14"/>
                <w:szCs w:val="14"/>
                <w:u w:val="none"/>
              </w:rPr>
            </w:pP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FBE54">
            <w:pPr>
              <w:spacing w:line="240" w:lineRule="auto"/>
              <w:jc w:val="center"/>
              <w:rPr>
                <w:rFonts w:hint="eastAsia" w:ascii="宋体" w:hAnsi="宋体" w:eastAsia="宋体" w:cs="宋体"/>
                <w:b/>
                <w:bCs/>
                <w:i w:val="0"/>
                <w:iCs w:val="0"/>
                <w:color w:val="000000"/>
                <w:kern w:val="0"/>
                <w:sz w:val="14"/>
                <w:szCs w:val="14"/>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59418">
            <w:pPr>
              <w:spacing w:line="240" w:lineRule="auto"/>
              <w:jc w:val="center"/>
              <w:rPr>
                <w:rFonts w:hint="eastAsia" w:ascii="宋体" w:hAnsi="宋体" w:eastAsia="宋体" w:cs="宋体"/>
                <w:b/>
                <w:bCs/>
                <w:i w:val="0"/>
                <w:iCs w:val="0"/>
                <w:color w:val="000000"/>
                <w:kern w:val="0"/>
                <w:sz w:val="14"/>
                <w:szCs w:val="14"/>
                <w:u w:val="none"/>
              </w:rPr>
            </w:pPr>
          </w:p>
        </w:tc>
        <w:tc>
          <w:tcPr>
            <w:tcW w:w="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B7D4F">
            <w:pPr>
              <w:spacing w:line="240" w:lineRule="auto"/>
              <w:jc w:val="center"/>
              <w:rPr>
                <w:rFonts w:hint="eastAsia" w:ascii="宋体" w:hAnsi="宋体" w:eastAsia="宋体" w:cs="宋体"/>
                <w:b/>
                <w:bCs/>
                <w:i w:val="0"/>
                <w:iCs w:val="0"/>
                <w:color w:val="000000"/>
                <w:kern w:val="0"/>
                <w:sz w:val="14"/>
                <w:szCs w:val="14"/>
                <w:u w:val="none"/>
              </w:rPr>
            </w:pPr>
          </w:p>
        </w:tc>
        <w:tc>
          <w:tcPr>
            <w:tcW w:w="1391" w:type="dxa"/>
            <w:vMerge w:val="continue"/>
            <w:tcBorders>
              <w:left w:val="single" w:color="000000" w:sz="4" w:space="0"/>
              <w:right w:val="single" w:color="000000" w:sz="4" w:space="0"/>
            </w:tcBorders>
            <w:shd w:val="clear" w:color="auto" w:fill="auto"/>
            <w:vAlign w:val="center"/>
          </w:tcPr>
          <w:p w14:paraId="55F5AA85">
            <w:pPr>
              <w:spacing w:line="240" w:lineRule="auto"/>
              <w:jc w:val="center"/>
              <w:rPr>
                <w:rFonts w:hint="eastAsia" w:ascii="宋体" w:hAnsi="宋体" w:eastAsia="宋体" w:cs="宋体"/>
                <w:b/>
                <w:bCs/>
                <w:i w:val="0"/>
                <w:iCs w:val="0"/>
                <w:color w:val="000000"/>
                <w:kern w:val="0"/>
                <w:sz w:val="14"/>
                <w:szCs w:val="14"/>
                <w:u w:val="none"/>
              </w:rPr>
            </w:pPr>
          </w:p>
        </w:tc>
        <w:tc>
          <w:tcPr>
            <w:tcW w:w="585" w:type="dxa"/>
            <w:vMerge w:val="continue"/>
            <w:tcBorders>
              <w:left w:val="single" w:color="000000" w:sz="4" w:space="0"/>
              <w:right w:val="single" w:color="000000" w:sz="4" w:space="0"/>
            </w:tcBorders>
            <w:shd w:val="clear" w:color="auto" w:fill="auto"/>
            <w:vAlign w:val="center"/>
          </w:tcPr>
          <w:p w14:paraId="1286D869">
            <w:pPr>
              <w:spacing w:line="240" w:lineRule="auto"/>
              <w:jc w:val="center"/>
              <w:rPr>
                <w:rFonts w:hint="eastAsia" w:ascii="宋体" w:hAnsi="宋体" w:eastAsia="宋体" w:cs="宋体"/>
                <w:b/>
                <w:bCs/>
                <w:i w:val="0"/>
                <w:iCs w:val="0"/>
                <w:color w:val="000000"/>
                <w:kern w:val="0"/>
                <w:sz w:val="14"/>
                <w:szCs w:val="14"/>
                <w:u w:val="none"/>
              </w:rPr>
            </w:pPr>
          </w:p>
        </w:tc>
        <w:tc>
          <w:tcPr>
            <w:tcW w:w="753" w:type="dxa"/>
            <w:vMerge w:val="restart"/>
            <w:tcBorders>
              <w:top w:val="single" w:color="000000" w:sz="4" w:space="0"/>
              <w:left w:val="single" w:color="000000" w:sz="4" w:space="0"/>
              <w:right w:val="single" w:color="000000" w:sz="4" w:space="0"/>
            </w:tcBorders>
            <w:shd w:val="clear" w:color="auto" w:fill="auto"/>
            <w:vAlign w:val="center"/>
          </w:tcPr>
          <w:p w14:paraId="52898E2F">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总计</w:t>
            </w:r>
          </w:p>
        </w:tc>
        <w:tc>
          <w:tcPr>
            <w:tcW w:w="590" w:type="dxa"/>
            <w:vMerge w:val="restart"/>
            <w:tcBorders>
              <w:top w:val="single" w:color="000000" w:sz="4" w:space="0"/>
              <w:left w:val="single" w:color="000000" w:sz="4" w:space="0"/>
              <w:right w:val="single" w:color="000000" w:sz="4" w:space="0"/>
            </w:tcBorders>
            <w:shd w:val="clear" w:color="auto" w:fill="auto"/>
            <w:vAlign w:val="center"/>
          </w:tcPr>
          <w:p w14:paraId="4C38DF07">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理论</w:t>
            </w:r>
          </w:p>
        </w:tc>
        <w:tc>
          <w:tcPr>
            <w:tcW w:w="595" w:type="dxa"/>
            <w:vMerge w:val="restart"/>
            <w:tcBorders>
              <w:top w:val="single" w:color="000000" w:sz="4" w:space="0"/>
              <w:left w:val="single" w:color="000000" w:sz="4" w:space="0"/>
              <w:right w:val="single" w:color="000000" w:sz="4" w:space="0"/>
            </w:tcBorders>
            <w:shd w:val="clear" w:color="auto" w:fill="auto"/>
            <w:vAlign w:val="center"/>
          </w:tcPr>
          <w:p w14:paraId="3E55FB87">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实践</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top"/>
          </w:tcPr>
          <w:p w14:paraId="07CA607B">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 xml:space="preserve">1 </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top"/>
          </w:tcPr>
          <w:p w14:paraId="365E7A3B">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 xml:space="preserve">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top"/>
          </w:tcPr>
          <w:p w14:paraId="19C1B1C5">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 xml:space="preserve">3 </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A13898">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 xml:space="preserve">4 </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top"/>
          </w:tcPr>
          <w:p w14:paraId="2CD0A0F7">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5   6</w:t>
            </w:r>
          </w:p>
        </w:tc>
      </w:tr>
      <w:tr w14:paraId="6EE97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18E29">
            <w:pPr>
              <w:spacing w:line="240" w:lineRule="auto"/>
              <w:jc w:val="center"/>
              <w:rPr>
                <w:rFonts w:hint="eastAsia" w:ascii="宋体" w:hAnsi="宋体" w:eastAsia="宋体" w:cs="宋体"/>
                <w:b/>
                <w:bCs/>
                <w:i w:val="0"/>
                <w:iCs w:val="0"/>
                <w:color w:val="000000"/>
                <w:kern w:val="0"/>
                <w:sz w:val="14"/>
                <w:szCs w:val="14"/>
                <w:u w:val="none"/>
              </w:rPr>
            </w:pPr>
          </w:p>
        </w:tc>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9B529">
            <w:pPr>
              <w:spacing w:line="240" w:lineRule="auto"/>
              <w:jc w:val="center"/>
              <w:rPr>
                <w:rFonts w:hint="eastAsia" w:ascii="宋体" w:hAnsi="宋体" w:eastAsia="宋体" w:cs="宋体"/>
                <w:b/>
                <w:bCs/>
                <w:i w:val="0"/>
                <w:iCs w:val="0"/>
                <w:color w:val="000000"/>
                <w:kern w:val="0"/>
                <w:sz w:val="14"/>
                <w:szCs w:val="14"/>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758CE">
            <w:pPr>
              <w:spacing w:line="240" w:lineRule="auto"/>
              <w:jc w:val="center"/>
              <w:rPr>
                <w:rFonts w:hint="eastAsia" w:ascii="宋体" w:hAnsi="宋体" w:eastAsia="宋体" w:cs="宋体"/>
                <w:b/>
                <w:bCs/>
                <w:i w:val="0"/>
                <w:iCs w:val="0"/>
                <w:color w:val="000000"/>
                <w:kern w:val="0"/>
                <w:sz w:val="14"/>
                <w:szCs w:val="14"/>
                <w:u w:val="none"/>
              </w:rPr>
            </w:pPr>
          </w:p>
        </w:tc>
        <w:tc>
          <w:tcPr>
            <w:tcW w:w="3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38D6">
            <w:pPr>
              <w:spacing w:line="240" w:lineRule="auto"/>
              <w:jc w:val="center"/>
              <w:rPr>
                <w:rFonts w:hint="eastAsia" w:ascii="宋体" w:hAnsi="宋体" w:eastAsia="宋体" w:cs="宋体"/>
                <w:b/>
                <w:bCs/>
                <w:i w:val="0"/>
                <w:iCs w:val="0"/>
                <w:color w:val="000000"/>
                <w:kern w:val="0"/>
                <w:sz w:val="14"/>
                <w:szCs w:val="14"/>
                <w:u w:val="none"/>
              </w:rPr>
            </w:pPr>
          </w:p>
        </w:tc>
        <w:tc>
          <w:tcPr>
            <w:tcW w:w="1391" w:type="dxa"/>
            <w:vMerge w:val="continue"/>
            <w:tcBorders>
              <w:left w:val="single" w:color="000000" w:sz="4" w:space="0"/>
              <w:right w:val="single" w:color="000000" w:sz="4" w:space="0"/>
            </w:tcBorders>
            <w:shd w:val="clear" w:color="auto" w:fill="auto"/>
            <w:vAlign w:val="top"/>
          </w:tcPr>
          <w:p w14:paraId="32CAEC58">
            <w:pPr>
              <w:spacing w:line="240" w:lineRule="auto"/>
              <w:jc w:val="center"/>
              <w:rPr>
                <w:rFonts w:hint="eastAsia" w:ascii="宋体" w:hAnsi="宋体" w:eastAsia="宋体" w:cs="宋体"/>
                <w:b/>
                <w:bCs/>
                <w:i w:val="0"/>
                <w:iCs w:val="0"/>
                <w:color w:val="000000"/>
                <w:kern w:val="0"/>
                <w:sz w:val="14"/>
                <w:szCs w:val="14"/>
                <w:u w:val="none"/>
              </w:rPr>
            </w:pPr>
          </w:p>
        </w:tc>
        <w:tc>
          <w:tcPr>
            <w:tcW w:w="585" w:type="dxa"/>
            <w:vMerge w:val="continue"/>
            <w:tcBorders>
              <w:left w:val="single" w:color="000000" w:sz="4" w:space="0"/>
              <w:right w:val="single" w:color="000000" w:sz="4" w:space="0"/>
            </w:tcBorders>
            <w:shd w:val="clear" w:color="auto" w:fill="auto"/>
            <w:vAlign w:val="top"/>
          </w:tcPr>
          <w:p w14:paraId="12396AAF">
            <w:pPr>
              <w:spacing w:line="240" w:lineRule="auto"/>
              <w:jc w:val="center"/>
              <w:rPr>
                <w:rFonts w:hint="eastAsia" w:ascii="宋体" w:hAnsi="宋体" w:eastAsia="宋体" w:cs="宋体"/>
                <w:b/>
                <w:bCs/>
                <w:i w:val="0"/>
                <w:iCs w:val="0"/>
                <w:color w:val="000000"/>
                <w:kern w:val="0"/>
                <w:sz w:val="14"/>
                <w:szCs w:val="14"/>
                <w:u w:val="none"/>
              </w:rPr>
            </w:pPr>
          </w:p>
        </w:tc>
        <w:tc>
          <w:tcPr>
            <w:tcW w:w="753" w:type="dxa"/>
            <w:vMerge w:val="continue"/>
            <w:tcBorders>
              <w:left w:val="single" w:color="000000" w:sz="4" w:space="0"/>
              <w:right w:val="single" w:color="000000" w:sz="4" w:space="0"/>
            </w:tcBorders>
            <w:shd w:val="clear" w:color="auto" w:fill="auto"/>
            <w:vAlign w:val="top"/>
          </w:tcPr>
          <w:p w14:paraId="5CA96E2B">
            <w:pPr>
              <w:spacing w:line="240" w:lineRule="auto"/>
              <w:jc w:val="center"/>
              <w:rPr>
                <w:rFonts w:hint="default" w:ascii="宋体" w:hAnsi="宋体" w:eastAsia="宋体" w:cs="宋体"/>
                <w:b/>
                <w:bCs/>
                <w:i w:val="0"/>
                <w:iCs w:val="0"/>
                <w:color w:val="000000"/>
                <w:kern w:val="0"/>
                <w:sz w:val="14"/>
                <w:szCs w:val="14"/>
                <w:u w:val="none"/>
              </w:rPr>
            </w:pPr>
          </w:p>
        </w:tc>
        <w:tc>
          <w:tcPr>
            <w:tcW w:w="590" w:type="dxa"/>
            <w:vMerge w:val="continue"/>
            <w:tcBorders>
              <w:left w:val="single" w:color="000000" w:sz="4" w:space="0"/>
              <w:right w:val="single" w:color="000000" w:sz="4" w:space="0"/>
            </w:tcBorders>
            <w:shd w:val="clear" w:color="auto" w:fill="auto"/>
            <w:vAlign w:val="top"/>
          </w:tcPr>
          <w:p w14:paraId="6D64373A">
            <w:pPr>
              <w:spacing w:line="240" w:lineRule="auto"/>
              <w:jc w:val="center"/>
              <w:rPr>
                <w:rFonts w:hint="default" w:ascii="宋体" w:hAnsi="宋体" w:eastAsia="宋体" w:cs="宋体"/>
                <w:b/>
                <w:bCs/>
                <w:i w:val="0"/>
                <w:iCs w:val="0"/>
                <w:color w:val="000000"/>
                <w:kern w:val="0"/>
                <w:sz w:val="14"/>
                <w:szCs w:val="14"/>
                <w:u w:val="none"/>
              </w:rPr>
            </w:pPr>
          </w:p>
        </w:tc>
        <w:tc>
          <w:tcPr>
            <w:tcW w:w="595" w:type="dxa"/>
            <w:vMerge w:val="continue"/>
            <w:tcBorders>
              <w:left w:val="single" w:color="000000" w:sz="4" w:space="0"/>
              <w:right w:val="single" w:color="000000" w:sz="4" w:space="0"/>
            </w:tcBorders>
            <w:shd w:val="clear" w:color="auto" w:fill="auto"/>
            <w:vAlign w:val="top"/>
          </w:tcPr>
          <w:p w14:paraId="56CCF8B2">
            <w:pPr>
              <w:spacing w:line="240" w:lineRule="auto"/>
              <w:jc w:val="center"/>
              <w:rPr>
                <w:rFonts w:hint="default" w:ascii="宋体" w:hAnsi="宋体" w:eastAsia="宋体" w:cs="宋体"/>
                <w:b/>
                <w:bCs/>
                <w:i w:val="0"/>
                <w:iCs w:val="0"/>
                <w:color w:val="000000"/>
                <w:kern w:val="0"/>
                <w:sz w:val="14"/>
                <w:szCs w:val="14"/>
                <w:u w:val="none"/>
              </w:rPr>
            </w:pPr>
          </w:p>
        </w:tc>
        <w:tc>
          <w:tcPr>
            <w:tcW w:w="604" w:type="dxa"/>
            <w:tcBorders>
              <w:top w:val="single" w:color="000000" w:sz="4" w:space="0"/>
              <w:left w:val="single" w:color="000000" w:sz="4" w:space="0"/>
              <w:bottom w:val="nil"/>
              <w:right w:val="single" w:color="000000" w:sz="4" w:space="0"/>
            </w:tcBorders>
            <w:shd w:val="clear" w:color="auto" w:fill="auto"/>
            <w:vAlign w:val="center"/>
          </w:tcPr>
          <w:p w14:paraId="1F4884A8">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16周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6A39">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16周</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D45">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16周</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1381">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16周</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6847">
            <w:pPr>
              <w:spacing w:line="240" w:lineRule="auto"/>
              <w:jc w:val="center"/>
              <w:rPr>
                <w:rFonts w:hint="eastAsia" w:ascii="宋体" w:hAnsi="宋体" w:eastAsia="宋体" w:cs="宋体"/>
                <w:b/>
                <w:bCs/>
                <w:i w:val="0"/>
                <w:iCs w:val="0"/>
                <w:color w:val="000000"/>
                <w:kern w:val="0"/>
                <w:sz w:val="14"/>
                <w:szCs w:val="14"/>
                <w:u w:val="none"/>
              </w:rPr>
            </w:pPr>
            <w:r>
              <w:rPr>
                <w:rFonts w:hint="eastAsia" w:ascii="宋体" w:hAnsi="宋体" w:eastAsia="宋体" w:cs="宋体"/>
                <w:b/>
                <w:bCs/>
                <w:i w:val="0"/>
                <w:iCs w:val="0"/>
                <w:color w:val="000000"/>
                <w:kern w:val="0"/>
                <w:sz w:val="14"/>
                <w:szCs w:val="14"/>
                <w:u w:val="none"/>
                <w:lang w:val="en-US" w:eastAsia="zh-CN"/>
              </w:rPr>
              <w:t>实习</w:t>
            </w:r>
          </w:p>
        </w:tc>
      </w:tr>
      <w:tr w14:paraId="29AD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restart"/>
            <w:tcBorders>
              <w:top w:val="single" w:color="000000" w:sz="4" w:space="0"/>
              <w:left w:val="single" w:color="000000" w:sz="4" w:space="0"/>
              <w:right w:val="single" w:color="000000" w:sz="4" w:space="0"/>
            </w:tcBorders>
            <w:shd w:val="clear" w:color="auto" w:fill="auto"/>
            <w:vAlign w:val="center"/>
          </w:tcPr>
          <w:p w14:paraId="744F3FE7">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公共</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基础</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14D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思想道德与法治</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5B6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4C2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2E7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AA1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C3E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76D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4AA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729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 ❖</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53B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601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BC2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restart"/>
            <w:tcBorders>
              <w:top w:val="single" w:color="000000" w:sz="4" w:space="0"/>
              <w:left w:val="single" w:color="000000" w:sz="4" w:space="0"/>
              <w:right w:val="single" w:color="000000" w:sz="4" w:space="0"/>
            </w:tcBorders>
            <w:shd w:val="clear" w:color="auto" w:fill="auto"/>
            <w:vAlign w:val="center"/>
          </w:tcPr>
          <w:p w14:paraId="72B87660">
            <w:pPr>
              <w:jc w:val="center"/>
              <w:rPr>
                <w:rFonts w:hint="default" w:ascii="Arial" w:hAnsi="Arial" w:cs="Arial"/>
                <w:b/>
                <w:bCs/>
                <w:i w:val="0"/>
                <w:iCs w:val="0"/>
                <w:color w:val="000000"/>
                <w:sz w:val="15"/>
                <w:szCs w:val="15"/>
                <w:u w:val="none"/>
                <w:lang w:val="en-US"/>
              </w:rPr>
            </w:pPr>
            <w:r>
              <w:rPr>
                <w:rFonts w:hint="eastAsia" w:ascii="宋体" w:hAnsi="宋体" w:eastAsia="宋体" w:cs="宋体"/>
                <w:b w:val="0"/>
                <w:i w:val="0"/>
                <w:iCs w:val="0"/>
                <w:snapToGrid w:val="0"/>
                <w:color w:val="000000"/>
                <w:kern w:val="0"/>
                <w:sz w:val="18"/>
                <w:szCs w:val="18"/>
                <w:u w:val="none"/>
                <w:lang w:val="en-US" w:eastAsia="zh-CN" w:bidi="ar"/>
              </w:rPr>
              <w:t>通过二级甲等及以上综合医院实习不少于10个月</w:t>
            </w:r>
          </w:p>
        </w:tc>
      </w:tr>
      <w:tr w14:paraId="63F16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315" w:type="dxa"/>
            <w:vMerge w:val="continue"/>
            <w:tcBorders>
              <w:left w:val="single" w:color="000000" w:sz="4" w:space="0"/>
              <w:right w:val="single" w:color="000000" w:sz="4" w:space="0"/>
            </w:tcBorders>
            <w:shd w:val="clear" w:color="auto" w:fill="auto"/>
            <w:vAlign w:val="center"/>
          </w:tcPr>
          <w:p w14:paraId="22B923D1">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81F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毛泽东思想和中国特色社会主义理论体系概论</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671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D99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DCE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EF7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36F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A48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452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1DA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150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CFE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FE3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2B0234C">
            <w:pPr>
              <w:jc w:val="center"/>
              <w:rPr>
                <w:rFonts w:hint="default" w:ascii="Arial" w:hAnsi="Arial" w:cs="Arial"/>
                <w:b/>
                <w:bCs/>
                <w:i w:val="0"/>
                <w:iCs w:val="0"/>
                <w:color w:val="000000"/>
                <w:sz w:val="15"/>
                <w:szCs w:val="15"/>
                <w:u w:val="none"/>
              </w:rPr>
            </w:pPr>
          </w:p>
        </w:tc>
      </w:tr>
      <w:tr w14:paraId="38B5C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315" w:type="dxa"/>
            <w:vMerge w:val="continue"/>
            <w:tcBorders>
              <w:left w:val="single" w:color="000000" w:sz="4" w:space="0"/>
              <w:right w:val="single" w:color="000000" w:sz="4" w:space="0"/>
            </w:tcBorders>
            <w:shd w:val="clear" w:color="auto" w:fill="auto"/>
            <w:vAlign w:val="center"/>
          </w:tcPr>
          <w:p w14:paraId="206181CB">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1AD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习近平新时代中国特色社会主义思想概论</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BA3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8A3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48D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1BA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414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60F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A04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014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E24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7D4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 ❖</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861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6A0AE4A9">
            <w:pPr>
              <w:jc w:val="center"/>
              <w:rPr>
                <w:rFonts w:hint="default" w:ascii="Arial" w:hAnsi="Arial" w:cs="Arial"/>
                <w:b/>
                <w:bCs/>
                <w:i w:val="0"/>
                <w:iCs w:val="0"/>
                <w:color w:val="000000"/>
                <w:sz w:val="15"/>
                <w:szCs w:val="15"/>
                <w:u w:val="none"/>
              </w:rPr>
            </w:pPr>
          </w:p>
        </w:tc>
      </w:tr>
      <w:tr w14:paraId="7AC1E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1CBAC231">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230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形势与政策</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DBE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909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8D9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CB2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0C4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C57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706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275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 ❖</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695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42F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 ❖</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F0D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73" w:type="dxa"/>
            <w:vMerge w:val="continue"/>
            <w:tcBorders>
              <w:left w:val="single" w:color="000000" w:sz="4" w:space="0"/>
              <w:right w:val="single" w:color="000000" w:sz="4" w:space="0"/>
            </w:tcBorders>
            <w:shd w:val="clear" w:color="auto" w:fill="auto"/>
            <w:vAlign w:val="center"/>
          </w:tcPr>
          <w:p w14:paraId="2C609D7E">
            <w:pPr>
              <w:jc w:val="center"/>
              <w:rPr>
                <w:rFonts w:hint="default" w:ascii="Arial" w:hAnsi="Arial" w:cs="Arial"/>
                <w:b/>
                <w:bCs/>
                <w:i w:val="0"/>
                <w:iCs w:val="0"/>
                <w:color w:val="000000"/>
                <w:sz w:val="15"/>
                <w:szCs w:val="15"/>
                <w:u w:val="none"/>
              </w:rPr>
            </w:pPr>
          </w:p>
        </w:tc>
      </w:tr>
      <w:tr w14:paraId="3439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451B17C0">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04D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国家安全教育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980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687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BD5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BE3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63C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8B3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D39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5CD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441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9BC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9FB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3FBEE7E2">
            <w:pPr>
              <w:jc w:val="center"/>
              <w:rPr>
                <w:rFonts w:hint="default" w:ascii="Arial" w:hAnsi="Arial" w:cs="Arial"/>
                <w:b/>
                <w:bCs/>
                <w:i w:val="0"/>
                <w:iCs w:val="0"/>
                <w:color w:val="000000"/>
                <w:sz w:val="15"/>
                <w:szCs w:val="15"/>
                <w:u w:val="none"/>
              </w:rPr>
            </w:pPr>
          </w:p>
        </w:tc>
      </w:tr>
      <w:tr w14:paraId="66182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6BE38D4A">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EC6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中华民族共同体概论</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ABF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FFE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D7F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335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188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72C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7A2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E53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03BE894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auto"/>
                <w:kern w:val="0"/>
                <w:sz w:val="16"/>
                <w:szCs w:val="16"/>
                <w:u w:val="none"/>
                <w:lang w:val="en-US" w:eastAsia="zh-CN" w:bidi="ar"/>
              </w:rPr>
            </w:pPr>
            <w:r>
              <w:rPr>
                <w:rFonts w:hint="eastAsia" w:ascii="宋体" w:hAnsi="宋体" w:eastAsia="宋体" w:cs="宋体"/>
                <w:b w:val="0"/>
                <w:i w:val="0"/>
                <w:iCs w:val="0"/>
                <w:snapToGrid w:val="0"/>
                <w:color w:val="auto"/>
                <w:kern w:val="0"/>
                <w:sz w:val="16"/>
                <w:szCs w:val="16"/>
                <w:u w:val="none"/>
                <w:lang w:val="en-US" w:eastAsia="zh-CN" w:bidi="ar"/>
              </w:rPr>
              <w:t>2</w:t>
            </w:r>
          </w:p>
        </w:tc>
        <w:tc>
          <w:tcPr>
            <w:tcW w:w="617" w:type="dxa"/>
            <w:tcBorders>
              <w:top w:val="single" w:color="000000" w:sz="4" w:space="0"/>
              <w:left w:val="single" w:color="000000" w:sz="4" w:space="0"/>
              <w:bottom w:val="single" w:color="000000" w:sz="4" w:space="0"/>
              <w:right w:val="single" w:color="000000" w:sz="4" w:space="0"/>
            </w:tcBorders>
            <w:shd w:val="clear" w:color="auto" w:fill="F79646" w:themeFill="accent6"/>
            <w:vAlign w:val="center"/>
          </w:tcPr>
          <w:p w14:paraId="46915D6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auto"/>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47B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71EECDB6">
            <w:pPr>
              <w:jc w:val="center"/>
              <w:rPr>
                <w:rFonts w:hint="default" w:ascii="Arial" w:hAnsi="Arial" w:cs="Arial"/>
                <w:b/>
                <w:bCs/>
                <w:i w:val="0"/>
                <w:iCs w:val="0"/>
                <w:color w:val="000000"/>
                <w:sz w:val="15"/>
                <w:szCs w:val="15"/>
                <w:u w:val="none"/>
              </w:rPr>
            </w:pPr>
          </w:p>
        </w:tc>
      </w:tr>
      <w:tr w14:paraId="7C44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27B4EFB1">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C2D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大学语文</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E4E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D14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4FF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公共基础学院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78B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DF7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32</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DCF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99C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295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A07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DD3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44E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29C50ECB">
            <w:pPr>
              <w:jc w:val="center"/>
              <w:rPr>
                <w:rFonts w:hint="default" w:ascii="Arial" w:hAnsi="Arial" w:cs="Arial"/>
                <w:b/>
                <w:bCs/>
                <w:i w:val="0"/>
                <w:iCs w:val="0"/>
                <w:color w:val="000000"/>
                <w:sz w:val="15"/>
                <w:szCs w:val="15"/>
                <w:u w:val="none"/>
              </w:rPr>
            </w:pPr>
          </w:p>
        </w:tc>
      </w:tr>
      <w:tr w14:paraId="311A4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29F70429">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993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体育与健康</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B1C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E9F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505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体育教学部</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6B4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527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72</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BBA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31D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117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CFE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0BE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F2B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7DE435B">
            <w:pPr>
              <w:jc w:val="center"/>
              <w:rPr>
                <w:rFonts w:hint="default" w:ascii="Arial" w:hAnsi="Arial" w:cs="Arial"/>
                <w:b/>
                <w:bCs/>
                <w:i w:val="0"/>
                <w:iCs w:val="0"/>
                <w:color w:val="000000"/>
                <w:sz w:val="15"/>
                <w:szCs w:val="15"/>
                <w:u w:val="none"/>
              </w:rPr>
            </w:pPr>
          </w:p>
        </w:tc>
      </w:tr>
      <w:tr w14:paraId="39C8D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 w:hRule="atLeast"/>
        </w:trPr>
        <w:tc>
          <w:tcPr>
            <w:tcW w:w="315" w:type="dxa"/>
            <w:vMerge w:val="continue"/>
            <w:tcBorders>
              <w:left w:val="single" w:color="000000" w:sz="4" w:space="0"/>
              <w:right w:val="single" w:color="000000" w:sz="4" w:space="0"/>
            </w:tcBorders>
            <w:shd w:val="clear" w:color="auto" w:fill="auto"/>
            <w:vAlign w:val="center"/>
          </w:tcPr>
          <w:p w14:paraId="40E5C883">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6C4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《体育与健康》</w:t>
            </w:r>
          </w:p>
          <w:p w14:paraId="558BFA3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（模块化教学）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DED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36D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BC8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体育教学部</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DBD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66F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2C5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A2C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F79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433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850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DDC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787B5D30">
            <w:pPr>
              <w:jc w:val="center"/>
              <w:rPr>
                <w:rFonts w:hint="default" w:ascii="Arial" w:hAnsi="Arial" w:cs="Arial"/>
                <w:b/>
                <w:bCs/>
                <w:i w:val="0"/>
                <w:iCs w:val="0"/>
                <w:color w:val="000000"/>
                <w:sz w:val="15"/>
                <w:szCs w:val="15"/>
                <w:u w:val="none"/>
              </w:rPr>
            </w:pPr>
          </w:p>
        </w:tc>
      </w:tr>
      <w:tr w14:paraId="3F186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315" w:type="dxa"/>
            <w:vMerge w:val="continue"/>
            <w:tcBorders>
              <w:left w:val="single" w:color="000000" w:sz="4" w:space="0"/>
              <w:right w:val="single" w:color="000000" w:sz="4" w:space="0"/>
            </w:tcBorders>
            <w:shd w:val="clear" w:color="auto" w:fill="auto"/>
            <w:vAlign w:val="center"/>
          </w:tcPr>
          <w:p w14:paraId="1AB258F6">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4ED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基础英语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304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94C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337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公共基础学院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AF4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8A4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CB9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760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E3D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93F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E89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38F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3B760902">
            <w:pPr>
              <w:jc w:val="center"/>
              <w:rPr>
                <w:rFonts w:hint="default" w:ascii="Arial" w:hAnsi="Arial" w:cs="Arial"/>
                <w:b/>
                <w:bCs/>
                <w:i w:val="0"/>
                <w:iCs w:val="0"/>
                <w:color w:val="000000"/>
                <w:sz w:val="15"/>
                <w:szCs w:val="15"/>
                <w:u w:val="none"/>
              </w:rPr>
            </w:pPr>
          </w:p>
        </w:tc>
      </w:tr>
      <w:tr w14:paraId="25126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63BA77F2">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3BD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信息技术</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9CB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EBB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3B7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公共基础学院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076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EAC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48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577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F9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D81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179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F14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09F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73" w:type="dxa"/>
            <w:vMerge w:val="continue"/>
            <w:tcBorders>
              <w:left w:val="single" w:color="000000" w:sz="4" w:space="0"/>
              <w:right w:val="single" w:color="000000" w:sz="4" w:space="0"/>
            </w:tcBorders>
            <w:shd w:val="clear" w:color="auto" w:fill="auto"/>
            <w:vAlign w:val="center"/>
          </w:tcPr>
          <w:p w14:paraId="24AC3692">
            <w:pPr>
              <w:jc w:val="center"/>
              <w:rPr>
                <w:rFonts w:hint="default" w:ascii="Arial" w:hAnsi="Arial" w:cs="Arial"/>
                <w:b/>
                <w:bCs/>
                <w:i w:val="0"/>
                <w:iCs w:val="0"/>
                <w:color w:val="000000"/>
                <w:sz w:val="15"/>
                <w:szCs w:val="15"/>
                <w:u w:val="none"/>
              </w:rPr>
            </w:pPr>
          </w:p>
        </w:tc>
      </w:tr>
      <w:tr w14:paraId="26FF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64211E4C">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780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大学生心理健康教育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027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556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892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43D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224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09E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C2E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8D0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E28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C43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121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73" w:type="dxa"/>
            <w:vMerge w:val="continue"/>
            <w:tcBorders>
              <w:left w:val="single" w:color="000000" w:sz="4" w:space="0"/>
              <w:right w:val="single" w:color="000000" w:sz="4" w:space="0"/>
            </w:tcBorders>
            <w:shd w:val="clear" w:color="auto" w:fill="auto"/>
            <w:vAlign w:val="center"/>
          </w:tcPr>
          <w:p w14:paraId="79B3E5AD">
            <w:pPr>
              <w:jc w:val="center"/>
              <w:rPr>
                <w:rFonts w:hint="default" w:ascii="Arial" w:hAnsi="Arial" w:cs="Arial"/>
                <w:b/>
                <w:bCs/>
                <w:i w:val="0"/>
                <w:iCs w:val="0"/>
                <w:color w:val="000000"/>
                <w:sz w:val="15"/>
                <w:szCs w:val="15"/>
                <w:u w:val="none"/>
              </w:rPr>
            </w:pPr>
          </w:p>
        </w:tc>
      </w:tr>
      <w:tr w14:paraId="3E8BD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2FB9CEEC">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717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军事教育与技能训练</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BF5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169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4F6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五育教研室</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0C4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B24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148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B78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DA7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112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BF9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611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ECE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454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73" w:type="dxa"/>
            <w:vMerge w:val="continue"/>
            <w:tcBorders>
              <w:left w:val="single" w:color="000000" w:sz="4" w:space="0"/>
              <w:right w:val="single" w:color="000000" w:sz="4" w:space="0"/>
            </w:tcBorders>
            <w:shd w:val="clear" w:color="auto" w:fill="auto"/>
            <w:vAlign w:val="center"/>
          </w:tcPr>
          <w:p w14:paraId="73C36BA9">
            <w:pPr>
              <w:jc w:val="center"/>
              <w:rPr>
                <w:rFonts w:hint="default" w:ascii="Arial" w:hAnsi="Arial" w:cs="Arial"/>
                <w:b/>
                <w:bCs/>
                <w:i w:val="0"/>
                <w:iCs w:val="0"/>
                <w:color w:val="000000"/>
                <w:sz w:val="15"/>
                <w:szCs w:val="15"/>
                <w:u w:val="none"/>
              </w:rPr>
            </w:pPr>
          </w:p>
        </w:tc>
      </w:tr>
      <w:tr w14:paraId="7E98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24920AF3">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FB7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劳动教育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845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2BA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C7C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五育教研室</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256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AB2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496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174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50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3EC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76A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33E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BB1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73" w:type="dxa"/>
            <w:vMerge w:val="continue"/>
            <w:tcBorders>
              <w:left w:val="single" w:color="000000" w:sz="4" w:space="0"/>
              <w:right w:val="single" w:color="000000" w:sz="4" w:space="0"/>
            </w:tcBorders>
            <w:shd w:val="clear" w:color="auto" w:fill="auto"/>
            <w:vAlign w:val="center"/>
          </w:tcPr>
          <w:p w14:paraId="4A0E91D4">
            <w:pPr>
              <w:jc w:val="center"/>
              <w:rPr>
                <w:rFonts w:hint="default" w:ascii="Arial" w:hAnsi="Arial" w:cs="Arial"/>
                <w:b/>
                <w:bCs/>
                <w:i w:val="0"/>
                <w:iCs w:val="0"/>
                <w:color w:val="000000"/>
                <w:sz w:val="15"/>
                <w:szCs w:val="15"/>
                <w:u w:val="none"/>
              </w:rPr>
            </w:pPr>
          </w:p>
        </w:tc>
      </w:tr>
      <w:tr w14:paraId="49F77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679B4916">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2A8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学生体质健康监测</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8DF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0D4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0E1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体育教学部</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2C8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0A6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12</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D92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07C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AB4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ADF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F2C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161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673" w:type="dxa"/>
            <w:vMerge w:val="continue"/>
            <w:tcBorders>
              <w:left w:val="single" w:color="000000" w:sz="4" w:space="0"/>
              <w:right w:val="single" w:color="000000" w:sz="4" w:space="0"/>
            </w:tcBorders>
            <w:shd w:val="clear" w:color="auto" w:fill="auto"/>
            <w:vAlign w:val="center"/>
          </w:tcPr>
          <w:p w14:paraId="0A5D3AA6">
            <w:pPr>
              <w:jc w:val="center"/>
              <w:rPr>
                <w:rFonts w:hint="default" w:ascii="Arial" w:hAnsi="Arial" w:cs="Arial"/>
                <w:b/>
                <w:bCs/>
                <w:i w:val="0"/>
                <w:iCs w:val="0"/>
                <w:color w:val="000000"/>
                <w:sz w:val="15"/>
                <w:szCs w:val="15"/>
                <w:u w:val="none"/>
              </w:rPr>
            </w:pPr>
          </w:p>
        </w:tc>
      </w:tr>
      <w:tr w14:paraId="7C9B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3A1F89D2">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F6C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学生心理体验课堂</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A8B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F85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D89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马克思主义学院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6FA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5E6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8D1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368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18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AC1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A5C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AE5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4C4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73" w:type="dxa"/>
            <w:vMerge w:val="continue"/>
            <w:tcBorders>
              <w:left w:val="single" w:color="000000" w:sz="4" w:space="0"/>
              <w:right w:val="single" w:color="000000" w:sz="4" w:space="0"/>
            </w:tcBorders>
            <w:shd w:val="clear" w:color="auto" w:fill="auto"/>
            <w:vAlign w:val="center"/>
          </w:tcPr>
          <w:p w14:paraId="004E2718">
            <w:pPr>
              <w:jc w:val="center"/>
              <w:rPr>
                <w:rFonts w:hint="default" w:ascii="Arial" w:hAnsi="Arial" w:cs="Arial"/>
                <w:b/>
                <w:bCs/>
                <w:i w:val="0"/>
                <w:iCs w:val="0"/>
                <w:color w:val="000000"/>
                <w:sz w:val="15"/>
                <w:szCs w:val="15"/>
                <w:u w:val="none"/>
              </w:rPr>
            </w:pPr>
          </w:p>
        </w:tc>
      </w:tr>
      <w:tr w14:paraId="5F49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044FBAA2">
            <w:pPr>
              <w:jc w:val="center"/>
              <w:rPr>
                <w:rFonts w:hint="eastAsia" w:ascii="宋体" w:hAnsi="宋体" w:eastAsia="宋体" w:cs="宋体"/>
                <w:i w:val="0"/>
                <w:iCs w:val="0"/>
                <w:color w:val="000000"/>
                <w:sz w:val="15"/>
                <w:szCs w:val="15"/>
                <w:u w:val="none"/>
              </w:rPr>
            </w:pPr>
          </w:p>
        </w:tc>
        <w:tc>
          <w:tcPr>
            <w:tcW w:w="38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B7330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bCs/>
                <w:i w:val="0"/>
                <w:iCs w:val="0"/>
                <w:snapToGrid w:val="0"/>
                <w:color w:val="000000"/>
                <w:kern w:val="0"/>
                <w:sz w:val="16"/>
                <w:szCs w:val="16"/>
                <w:u w:val="none"/>
                <w:lang w:val="en-US" w:eastAsia="en-US" w:bidi="ar"/>
              </w:rPr>
              <w:t>必修课小计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0566">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8676">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678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6E95">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366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A59B">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312</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1A7D">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12</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0412">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1E7B">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5</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83EA">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73" w:type="dxa"/>
            <w:tcBorders>
              <w:left w:val="single" w:color="000000" w:sz="4" w:space="0"/>
              <w:right w:val="single" w:color="000000" w:sz="4" w:space="0"/>
            </w:tcBorders>
            <w:shd w:val="clear" w:color="auto" w:fill="auto"/>
            <w:vAlign w:val="center"/>
          </w:tcPr>
          <w:p w14:paraId="415CEFD1">
            <w:pPr>
              <w:jc w:val="center"/>
              <w:rPr>
                <w:rFonts w:hint="default" w:ascii="Arial" w:hAnsi="Arial" w:cs="Arial"/>
                <w:b/>
                <w:bCs/>
                <w:i w:val="0"/>
                <w:iCs w:val="0"/>
                <w:color w:val="000000"/>
                <w:sz w:val="15"/>
                <w:szCs w:val="15"/>
                <w:u w:val="none"/>
              </w:rPr>
            </w:pPr>
          </w:p>
        </w:tc>
      </w:tr>
      <w:tr w14:paraId="2DF1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2D790640">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888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大学生职业生涯规划</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759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6E6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DC9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大学生生涯教育教研室</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227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980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73E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C3A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406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86B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7D9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D05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restart"/>
            <w:tcBorders>
              <w:left w:val="single" w:color="000000" w:sz="4" w:space="0"/>
              <w:right w:val="single" w:color="000000" w:sz="4" w:space="0"/>
            </w:tcBorders>
            <w:shd w:val="clear" w:color="auto" w:fill="auto"/>
            <w:vAlign w:val="center"/>
          </w:tcPr>
          <w:p w14:paraId="1D71E758">
            <w:pPr>
              <w:jc w:val="center"/>
              <w:rPr>
                <w:rFonts w:hint="default" w:ascii="Arial" w:hAnsi="Arial" w:cs="Arial"/>
                <w:b/>
                <w:bCs/>
                <w:i w:val="0"/>
                <w:iCs w:val="0"/>
                <w:color w:val="000000"/>
                <w:sz w:val="15"/>
                <w:szCs w:val="15"/>
                <w:u w:val="none"/>
              </w:rPr>
            </w:pPr>
          </w:p>
        </w:tc>
      </w:tr>
      <w:tr w14:paraId="31F2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2ECF3F18">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7BA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就业与创业指导</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477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2DC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034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大学生生涯教育教研室</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92A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FA9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3F1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972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B3E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B9A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1A7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EBE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B7805C8">
            <w:pPr>
              <w:jc w:val="center"/>
              <w:rPr>
                <w:rFonts w:hint="default" w:ascii="Arial" w:hAnsi="Arial" w:cs="Arial"/>
                <w:b/>
                <w:bCs/>
                <w:i w:val="0"/>
                <w:iCs w:val="0"/>
                <w:color w:val="000000"/>
                <w:sz w:val="15"/>
                <w:szCs w:val="15"/>
                <w:u w:val="none"/>
              </w:rPr>
            </w:pPr>
          </w:p>
        </w:tc>
      </w:tr>
      <w:tr w14:paraId="7E898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4C5D8D58">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4D1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卫生法律法规</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241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82B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7D9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A25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908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B2E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B996">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D11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D0B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C84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655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2EBEAEB3">
            <w:pPr>
              <w:jc w:val="center"/>
              <w:rPr>
                <w:rFonts w:hint="default" w:ascii="Arial" w:hAnsi="Arial" w:cs="Arial"/>
                <w:b/>
                <w:bCs/>
                <w:i w:val="0"/>
                <w:iCs w:val="0"/>
                <w:color w:val="000000"/>
                <w:sz w:val="15"/>
                <w:szCs w:val="15"/>
                <w:u w:val="none"/>
              </w:rPr>
            </w:pPr>
          </w:p>
        </w:tc>
      </w:tr>
      <w:tr w14:paraId="382B9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315" w:type="dxa"/>
            <w:vMerge w:val="continue"/>
            <w:tcBorders>
              <w:left w:val="single" w:color="000000" w:sz="4" w:space="0"/>
              <w:right w:val="single" w:color="000000" w:sz="4" w:space="0"/>
            </w:tcBorders>
            <w:shd w:val="clear" w:color="auto" w:fill="auto"/>
            <w:vAlign w:val="center"/>
          </w:tcPr>
          <w:p w14:paraId="2A7A4B78">
            <w:pPr>
              <w:jc w:val="center"/>
              <w:rPr>
                <w:rFonts w:hint="eastAsia" w:ascii="宋体" w:hAnsi="宋体" w:eastAsia="宋体" w:cs="宋体"/>
                <w:i w:val="0"/>
                <w:iCs w:val="0"/>
                <w:color w:val="000000"/>
                <w:sz w:val="15"/>
                <w:szCs w:val="15"/>
                <w:u w:val="none"/>
              </w:rPr>
            </w:pPr>
          </w:p>
        </w:tc>
        <w:tc>
          <w:tcPr>
            <w:tcW w:w="38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1AD7D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en-US" w:bidi="ar"/>
              </w:rPr>
            </w:pPr>
            <w:r>
              <w:rPr>
                <w:rFonts w:hint="eastAsia" w:ascii="宋体" w:hAnsi="宋体" w:eastAsia="宋体" w:cs="宋体"/>
                <w:b/>
                <w:bCs/>
                <w:i w:val="0"/>
                <w:iCs w:val="0"/>
                <w:snapToGrid w:val="0"/>
                <w:color w:val="000000"/>
                <w:kern w:val="0"/>
                <w:sz w:val="16"/>
                <w:szCs w:val="16"/>
                <w:u w:val="none"/>
                <w:lang w:val="en-US" w:eastAsia="en-US" w:bidi="ar"/>
              </w:rPr>
              <w:t>限定选修课小计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3CC7">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AA65">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42</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C5A">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7B56">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7F6F">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73CB">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2950">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E4D2">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73" w:type="dxa"/>
            <w:tcBorders>
              <w:left w:val="single" w:color="000000" w:sz="4" w:space="0"/>
              <w:right w:val="single" w:color="000000" w:sz="4" w:space="0"/>
            </w:tcBorders>
            <w:shd w:val="clear" w:color="auto" w:fill="auto"/>
            <w:vAlign w:val="center"/>
          </w:tcPr>
          <w:p w14:paraId="016A3CC9">
            <w:pPr>
              <w:jc w:val="center"/>
              <w:rPr>
                <w:rFonts w:hint="default" w:ascii="Arial" w:hAnsi="Arial" w:cs="Arial"/>
                <w:b/>
                <w:bCs/>
                <w:i w:val="0"/>
                <w:iCs w:val="0"/>
                <w:color w:val="000000"/>
                <w:sz w:val="15"/>
                <w:szCs w:val="15"/>
                <w:u w:val="none"/>
              </w:rPr>
            </w:pPr>
          </w:p>
        </w:tc>
      </w:tr>
      <w:tr w14:paraId="27938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1F844B32">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816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普通话实训与测试</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FA4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18B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499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教务处</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CB5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D40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065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98C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D10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E3E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A37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A0C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restart"/>
            <w:tcBorders>
              <w:left w:val="single" w:color="000000" w:sz="4" w:space="0"/>
              <w:right w:val="single" w:color="000000" w:sz="4" w:space="0"/>
            </w:tcBorders>
            <w:shd w:val="clear" w:color="auto" w:fill="auto"/>
            <w:vAlign w:val="center"/>
          </w:tcPr>
          <w:p w14:paraId="30AA0D8B">
            <w:pPr>
              <w:jc w:val="center"/>
              <w:rPr>
                <w:rFonts w:hint="default" w:ascii="Arial" w:hAnsi="Arial" w:cs="Arial"/>
                <w:b/>
                <w:bCs/>
                <w:i w:val="0"/>
                <w:iCs w:val="0"/>
                <w:color w:val="000000"/>
                <w:sz w:val="15"/>
                <w:szCs w:val="15"/>
                <w:u w:val="none"/>
              </w:rPr>
            </w:pPr>
          </w:p>
        </w:tc>
      </w:tr>
      <w:tr w14:paraId="0E2DA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6E3DCF4D">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FDA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“四史”教育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265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029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11D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教务处</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400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A4D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8C3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D91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821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8DF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A71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B34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6CA0C52C">
            <w:pPr>
              <w:jc w:val="center"/>
              <w:rPr>
                <w:rFonts w:hint="default" w:ascii="Arial" w:hAnsi="Arial" w:cs="Arial"/>
                <w:b/>
                <w:bCs/>
                <w:i w:val="0"/>
                <w:iCs w:val="0"/>
                <w:color w:val="000000"/>
                <w:sz w:val="15"/>
                <w:szCs w:val="15"/>
                <w:u w:val="none"/>
              </w:rPr>
            </w:pPr>
          </w:p>
        </w:tc>
      </w:tr>
      <w:tr w14:paraId="7A21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44ECF3D2">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8B8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中华优秀传统文化</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5B4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A35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56B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教务处</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3AA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D9E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988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934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73E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34F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D41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5C9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1ED43FAE">
            <w:pPr>
              <w:jc w:val="center"/>
              <w:rPr>
                <w:rFonts w:hint="default" w:ascii="Arial" w:hAnsi="Arial" w:cs="Arial"/>
                <w:b/>
                <w:bCs/>
                <w:i w:val="0"/>
                <w:iCs w:val="0"/>
                <w:color w:val="000000"/>
                <w:sz w:val="15"/>
                <w:szCs w:val="15"/>
                <w:u w:val="none"/>
              </w:rPr>
            </w:pPr>
          </w:p>
        </w:tc>
      </w:tr>
      <w:tr w14:paraId="640F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16511D47">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330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大学美育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F474">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45A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546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教务处</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552C">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D83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D4E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07A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4FBF">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CAB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6F7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4ED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59AE5E1A">
            <w:pPr>
              <w:jc w:val="center"/>
              <w:rPr>
                <w:rFonts w:hint="default" w:ascii="Arial" w:hAnsi="Arial" w:cs="Arial"/>
                <w:b/>
                <w:bCs/>
                <w:i w:val="0"/>
                <w:iCs w:val="0"/>
                <w:color w:val="000000"/>
                <w:sz w:val="15"/>
                <w:szCs w:val="15"/>
                <w:u w:val="none"/>
              </w:rPr>
            </w:pPr>
          </w:p>
        </w:tc>
      </w:tr>
      <w:tr w14:paraId="785ED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1A89BE53">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020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职业素养</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9A4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540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57C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教务处</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A128">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F1BD">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34D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90AE">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A67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AF62">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3415">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FD50">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73" w:type="dxa"/>
            <w:vMerge w:val="continue"/>
            <w:tcBorders>
              <w:left w:val="single" w:color="000000" w:sz="4" w:space="0"/>
              <w:right w:val="single" w:color="000000" w:sz="4" w:space="0"/>
            </w:tcBorders>
            <w:shd w:val="clear" w:color="auto" w:fill="auto"/>
            <w:vAlign w:val="center"/>
          </w:tcPr>
          <w:p w14:paraId="2C73CEDB">
            <w:pPr>
              <w:jc w:val="center"/>
              <w:rPr>
                <w:rFonts w:hint="default" w:ascii="Arial" w:hAnsi="Arial" w:cs="Arial"/>
                <w:b/>
                <w:bCs/>
                <w:i w:val="0"/>
                <w:iCs w:val="0"/>
                <w:color w:val="000000"/>
                <w:sz w:val="15"/>
                <w:szCs w:val="15"/>
                <w:u w:val="none"/>
              </w:rPr>
            </w:pPr>
          </w:p>
        </w:tc>
      </w:tr>
      <w:tr w14:paraId="7186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4485BDEB">
            <w:pPr>
              <w:jc w:val="center"/>
              <w:rPr>
                <w:rFonts w:hint="eastAsia" w:ascii="宋体" w:hAnsi="宋体" w:eastAsia="宋体" w:cs="宋体"/>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2131">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数智化</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6E53">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6027">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704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公共基础学院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A3F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7AB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1D3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4C7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5979">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D93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C8EA">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812B">
            <w:pPr>
              <w:keepNext w:val="0"/>
              <w:keepLines w:val="0"/>
              <w:widowControl/>
              <w:suppressLineNumbers w:val="0"/>
              <w:spacing w:line="240" w:lineRule="auto"/>
              <w:jc w:val="center"/>
              <w:textAlignment w:val="center"/>
              <w:rPr>
                <w:rFonts w:hint="eastAsia"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72249CE">
            <w:pPr>
              <w:jc w:val="center"/>
              <w:rPr>
                <w:rFonts w:hint="default" w:ascii="Arial" w:hAnsi="Arial" w:cs="Arial"/>
                <w:b/>
                <w:bCs/>
                <w:i w:val="0"/>
                <w:iCs w:val="0"/>
                <w:color w:val="000000"/>
                <w:sz w:val="15"/>
                <w:szCs w:val="15"/>
                <w:u w:val="none"/>
              </w:rPr>
            </w:pPr>
          </w:p>
        </w:tc>
      </w:tr>
      <w:tr w14:paraId="055B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315" w:type="dxa"/>
            <w:vMerge w:val="continue"/>
            <w:tcBorders>
              <w:left w:val="single" w:color="000000" w:sz="4" w:space="0"/>
              <w:bottom w:val="single" w:color="000000" w:sz="4" w:space="0"/>
              <w:right w:val="single" w:color="000000" w:sz="4" w:space="0"/>
            </w:tcBorders>
            <w:shd w:val="clear" w:color="auto" w:fill="auto"/>
            <w:vAlign w:val="center"/>
          </w:tcPr>
          <w:p w14:paraId="1CEF1D2E">
            <w:pPr>
              <w:jc w:val="center"/>
              <w:rPr>
                <w:rFonts w:hint="eastAsia" w:ascii="宋体" w:hAnsi="宋体" w:eastAsia="宋体" w:cs="宋体"/>
                <w:i w:val="0"/>
                <w:iCs w:val="0"/>
                <w:color w:val="000000"/>
                <w:sz w:val="15"/>
                <w:szCs w:val="15"/>
                <w:u w:val="none"/>
              </w:rPr>
            </w:pPr>
          </w:p>
        </w:tc>
        <w:tc>
          <w:tcPr>
            <w:tcW w:w="38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35D19F">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公共通识选修课小计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0ED4">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9399">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120</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4F48">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120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2B98">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1CBA">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8B13">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9B93">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D6A6">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73" w:type="dxa"/>
            <w:vMerge w:val="restart"/>
            <w:tcBorders>
              <w:left w:val="single" w:color="000000" w:sz="4" w:space="0"/>
              <w:right w:val="single" w:color="000000" w:sz="4" w:space="0"/>
            </w:tcBorders>
            <w:shd w:val="clear" w:color="auto" w:fill="auto"/>
            <w:vAlign w:val="center"/>
          </w:tcPr>
          <w:p w14:paraId="6891EDD3">
            <w:pPr>
              <w:jc w:val="center"/>
              <w:rPr>
                <w:rFonts w:hint="default" w:ascii="Arial" w:hAnsi="Arial" w:cs="Arial"/>
                <w:b/>
                <w:bCs/>
                <w:i w:val="0"/>
                <w:iCs w:val="0"/>
                <w:color w:val="000000"/>
                <w:sz w:val="15"/>
                <w:szCs w:val="15"/>
                <w:u w:val="none"/>
              </w:rPr>
            </w:pPr>
          </w:p>
        </w:tc>
      </w:tr>
      <w:tr w14:paraId="7907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41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DC1539">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公共课合计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88AA">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46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C8C7">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840</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6427">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520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2E03">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320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9FB6">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14</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F8EB">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BBFC">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6</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1F3C">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73" w:type="dxa"/>
            <w:vMerge w:val="continue"/>
            <w:tcBorders>
              <w:left w:val="single" w:color="000000" w:sz="4" w:space="0"/>
              <w:right w:val="single" w:color="000000" w:sz="4" w:space="0"/>
            </w:tcBorders>
            <w:shd w:val="clear" w:color="auto" w:fill="auto"/>
            <w:vAlign w:val="center"/>
          </w:tcPr>
          <w:p w14:paraId="4936E4C5">
            <w:pPr>
              <w:jc w:val="center"/>
              <w:rPr>
                <w:rFonts w:hint="default" w:ascii="Arial" w:hAnsi="Arial" w:cs="Arial"/>
                <w:b/>
                <w:bCs/>
                <w:i w:val="0"/>
                <w:iCs w:val="0"/>
                <w:color w:val="000000"/>
                <w:sz w:val="15"/>
                <w:szCs w:val="15"/>
                <w:u w:val="none"/>
              </w:rPr>
            </w:pPr>
          </w:p>
        </w:tc>
      </w:tr>
      <w:tr w14:paraId="056A7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BC20F">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专业</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基础</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p w14:paraId="120FD30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p>
          <w:p w14:paraId="03268F40">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必修</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20E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人体解剖学与组织胚胎学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4EA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EEF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58F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C54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C6F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96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AF1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EE8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F22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2AF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9E3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9B6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restart"/>
            <w:tcBorders>
              <w:left w:val="single" w:color="000000" w:sz="4" w:space="0"/>
              <w:right w:val="single" w:color="000000" w:sz="4" w:space="0"/>
            </w:tcBorders>
            <w:shd w:val="clear" w:color="auto" w:fill="auto"/>
            <w:vAlign w:val="center"/>
          </w:tcPr>
          <w:p w14:paraId="5A2EAD91">
            <w:pPr>
              <w:jc w:val="center"/>
              <w:rPr>
                <w:rFonts w:hint="default" w:ascii="Arial" w:hAnsi="Arial" w:cs="Arial"/>
                <w:b/>
                <w:bCs/>
                <w:i w:val="0"/>
                <w:iCs w:val="0"/>
                <w:color w:val="000000"/>
                <w:sz w:val="15"/>
                <w:szCs w:val="15"/>
                <w:u w:val="none"/>
              </w:rPr>
            </w:pPr>
          </w:p>
        </w:tc>
      </w:tr>
      <w:tr w14:paraId="1A13E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F0042">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69D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生理学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E95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176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CBC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B6C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A76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9EC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68E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835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67D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FDF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583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EF6943E">
            <w:pPr>
              <w:jc w:val="center"/>
              <w:rPr>
                <w:rFonts w:hint="default" w:ascii="Arial" w:hAnsi="Arial" w:cs="Arial"/>
                <w:b/>
                <w:bCs/>
                <w:i w:val="0"/>
                <w:iCs w:val="0"/>
                <w:color w:val="000000"/>
                <w:sz w:val="15"/>
                <w:szCs w:val="15"/>
                <w:u w:val="none"/>
              </w:rPr>
            </w:pPr>
          </w:p>
        </w:tc>
      </w:tr>
      <w:tr w14:paraId="21078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F13A3">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807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病原生物学和免疫学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97F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057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762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573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304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FF8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A8B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023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2E5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695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B8B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79C95322">
            <w:pPr>
              <w:jc w:val="center"/>
              <w:rPr>
                <w:rFonts w:hint="default" w:ascii="Arial" w:hAnsi="Arial" w:cs="Arial"/>
                <w:b/>
                <w:bCs/>
                <w:i w:val="0"/>
                <w:iCs w:val="0"/>
                <w:color w:val="000000"/>
                <w:sz w:val="15"/>
                <w:szCs w:val="15"/>
                <w:u w:val="none"/>
              </w:rPr>
            </w:pPr>
          </w:p>
        </w:tc>
      </w:tr>
      <w:tr w14:paraId="3260C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57BD1">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7BB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生物化学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112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864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E4D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975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5C5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CC5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CA4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78B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FEA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526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F20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30BB9606">
            <w:pPr>
              <w:jc w:val="center"/>
              <w:rPr>
                <w:rFonts w:hint="default" w:ascii="Arial" w:hAnsi="Arial" w:cs="Arial"/>
                <w:b/>
                <w:bCs/>
                <w:i w:val="0"/>
                <w:iCs w:val="0"/>
                <w:color w:val="000000"/>
                <w:sz w:val="15"/>
                <w:szCs w:val="15"/>
                <w:u w:val="none"/>
              </w:rPr>
            </w:pPr>
          </w:p>
        </w:tc>
      </w:tr>
      <w:tr w14:paraId="4859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63B09">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3F6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病理学与病理生理学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87F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3C8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9C1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977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449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3DE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252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BB6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195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BAA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895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0FB8946">
            <w:pPr>
              <w:jc w:val="center"/>
              <w:rPr>
                <w:rFonts w:hint="default" w:ascii="Arial" w:hAnsi="Arial" w:cs="Arial"/>
                <w:b/>
                <w:bCs/>
                <w:i w:val="0"/>
                <w:iCs w:val="0"/>
                <w:color w:val="000000"/>
                <w:sz w:val="15"/>
                <w:szCs w:val="15"/>
                <w:u w:val="none"/>
              </w:rPr>
            </w:pPr>
          </w:p>
        </w:tc>
      </w:tr>
      <w:tr w14:paraId="6FC7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721B5">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D88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药理学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156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58A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730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药学院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C2D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1D2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6EF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A0F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D59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484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353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C50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0F157785">
            <w:pPr>
              <w:jc w:val="center"/>
              <w:rPr>
                <w:rFonts w:hint="default" w:ascii="Arial" w:hAnsi="Arial" w:cs="Arial"/>
                <w:b/>
                <w:bCs/>
                <w:i w:val="0"/>
                <w:iCs w:val="0"/>
                <w:color w:val="000000"/>
                <w:sz w:val="15"/>
                <w:szCs w:val="15"/>
                <w:u w:val="none"/>
              </w:rPr>
            </w:pPr>
          </w:p>
        </w:tc>
      </w:tr>
      <w:tr w14:paraId="00444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DC481">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DAE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预防医学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E07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C11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D05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基础医学院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65E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731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BC8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81A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CB3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14A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31D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C33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11E9DB3D">
            <w:pPr>
              <w:jc w:val="center"/>
              <w:rPr>
                <w:rFonts w:hint="default" w:ascii="Arial" w:hAnsi="Arial" w:cs="Arial"/>
                <w:b/>
                <w:bCs/>
                <w:i w:val="0"/>
                <w:iCs w:val="0"/>
                <w:color w:val="000000"/>
                <w:sz w:val="15"/>
                <w:szCs w:val="15"/>
                <w:u w:val="none"/>
              </w:rPr>
            </w:pPr>
          </w:p>
        </w:tc>
      </w:tr>
      <w:tr w14:paraId="5A65E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5392E">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58D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医学心理学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306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29B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0CD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588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C92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645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0DB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730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B7C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926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7F2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6E6A615A">
            <w:pPr>
              <w:jc w:val="center"/>
              <w:rPr>
                <w:rFonts w:hint="default" w:ascii="Arial" w:hAnsi="Arial" w:cs="Arial"/>
                <w:b/>
                <w:bCs/>
                <w:i w:val="0"/>
                <w:iCs w:val="0"/>
                <w:color w:val="000000"/>
                <w:sz w:val="15"/>
                <w:szCs w:val="15"/>
                <w:u w:val="none"/>
              </w:rPr>
            </w:pPr>
          </w:p>
        </w:tc>
      </w:tr>
      <w:tr w14:paraId="33D9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179CB">
            <w:pPr>
              <w:jc w:val="center"/>
              <w:rPr>
                <w:rFonts w:hint="eastAsia" w:ascii="宋体" w:hAnsi="宋体" w:eastAsia="宋体" w:cs="宋体"/>
                <w:b/>
                <w:bCs/>
                <w:i w:val="0"/>
                <w:iCs w:val="0"/>
                <w:color w:val="000000"/>
                <w:sz w:val="15"/>
                <w:szCs w:val="15"/>
                <w:u w:val="none"/>
              </w:rPr>
            </w:pPr>
          </w:p>
        </w:tc>
        <w:tc>
          <w:tcPr>
            <w:tcW w:w="3859" w:type="dxa"/>
            <w:gridSpan w:val="4"/>
            <w:tcBorders>
              <w:top w:val="single" w:color="000000" w:sz="4" w:space="0"/>
              <w:left w:val="single" w:color="000000" w:sz="4" w:space="0"/>
              <w:right w:val="single" w:color="000000" w:sz="4" w:space="0"/>
            </w:tcBorders>
            <w:shd w:val="clear" w:color="auto" w:fill="auto"/>
            <w:vAlign w:val="center"/>
          </w:tcPr>
          <w:p w14:paraId="6E4E2EE2">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专业基础课小计</w:t>
            </w:r>
          </w:p>
        </w:tc>
        <w:tc>
          <w:tcPr>
            <w:tcW w:w="585" w:type="dxa"/>
            <w:tcBorders>
              <w:top w:val="single" w:color="000000" w:sz="4" w:space="0"/>
              <w:left w:val="single" w:color="000000" w:sz="4" w:space="0"/>
              <w:right w:val="single" w:color="000000" w:sz="4" w:space="0"/>
            </w:tcBorders>
            <w:shd w:val="clear" w:color="auto" w:fill="auto"/>
            <w:vAlign w:val="center"/>
          </w:tcPr>
          <w:p w14:paraId="5F4D04C4">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26</w:t>
            </w:r>
          </w:p>
        </w:tc>
        <w:tc>
          <w:tcPr>
            <w:tcW w:w="753" w:type="dxa"/>
            <w:tcBorders>
              <w:top w:val="single" w:color="000000" w:sz="4" w:space="0"/>
              <w:left w:val="single" w:color="000000" w:sz="4" w:space="0"/>
              <w:right w:val="single" w:color="000000" w:sz="4" w:space="0"/>
            </w:tcBorders>
            <w:shd w:val="clear" w:color="auto" w:fill="auto"/>
            <w:vAlign w:val="center"/>
          </w:tcPr>
          <w:p w14:paraId="1893E92F">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444</w:t>
            </w:r>
          </w:p>
        </w:tc>
        <w:tc>
          <w:tcPr>
            <w:tcW w:w="590" w:type="dxa"/>
            <w:tcBorders>
              <w:top w:val="single" w:color="000000" w:sz="4" w:space="0"/>
              <w:left w:val="single" w:color="000000" w:sz="4" w:space="0"/>
              <w:right w:val="single" w:color="000000" w:sz="4" w:space="0"/>
            </w:tcBorders>
            <w:shd w:val="clear" w:color="auto" w:fill="auto"/>
            <w:vAlign w:val="center"/>
          </w:tcPr>
          <w:p w14:paraId="30F957BE">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348</w:t>
            </w:r>
          </w:p>
        </w:tc>
        <w:tc>
          <w:tcPr>
            <w:tcW w:w="595" w:type="dxa"/>
            <w:tcBorders>
              <w:top w:val="single" w:color="000000" w:sz="4" w:space="0"/>
              <w:left w:val="single" w:color="000000" w:sz="4" w:space="0"/>
              <w:right w:val="single" w:color="000000" w:sz="4" w:space="0"/>
            </w:tcBorders>
            <w:shd w:val="clear" w:color="auto" w:fill="auto"/>
            <w:vAlign w:val="center"/>
          </w:tcPr>
          <w:p w14:paraId="1E194186">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96</w:t>
            </w:r>
          </w:p>
        </w:tc>
        <w:tc>
          <w:tcPr>
            <w:tcW w:w="604" w:type="dxa"/>
            <w:tcBorders>
              <w:top w:val="single" w:color="000000" w:sz="4" w:space="0"/>
              <w:left w:val="single" w:color="000000" w:sz="4" w:space="0"/>
              <w:right w:val="single" w:color="000000" w:sz="4" w:space="0"/>
            </w:tcBorders>
            <w:shd w:val="clear" w:color="auto" w:fill="auto"/>
            <w:vAlign w:val="center"/>
          </w:tcPr>
          <w:p w14:paraId="524D98C1">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11</w:t>
            </w:r>
          </w:p>
        </w:tc>
        <w:tc>
          <w:tcPr>
            <w:tcW w:w="631" w:type="dxa"/>
            <w:tcBorders>
              <w:top w:val="single" w:color="000000" w:sz="4" w:space="0"/>
              <w:left w:val="single" w:color="000000" w:sz="4" w:space="0"/>
              <w:right w:val="single" w:color="000000" w:sz="4" w:space="0"/>
            </w:tcBorders>
            <w:shd w:val="clear" w:color="auto" w:fill="auto"/>
            <w:vAlign w:val="center"/>
          </w:tcPr>
          <w:p w14:paraId="17AA6256">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16</w:t>
            </w:r>
          </w:p>
        </w:tc>
        <w:tc>
          <w:tcPr>
            <w:tcW w:w="617" w:type="dxa"/>
            <w:tcBorders>
              <w:top w:val="single" w:color="000000" w:sz="4" w:space="0"/>
              <w:left w:val="single" w:color="000000" w:sz="4" w:space="0"/>
              <w:right w:val="single" w:color="000000" w:sz="4" w:space="0"/>
            </w:tcBorders>
            <w:shd w:val="clear" w:color="auto" w:fill="auto"/>
            <w:vAlign w:val="center"/>
          </w:tcPr>
          <w:p w14:paraId="76802250">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8514">
            <w:pPr>
              <w:keepNext w:val="0"/>
              <w:keepLines w:val="0"/>
              <w:widowControl/>
              <w:suppressLineNumbers w:val="0"/>
              <w:spacing w:line="240" w:lineRule="auto"/>
              <w:jc w:val="center"/>
              <w:textAlignment w:val="center"/>
              <w:rPr>
                <w:rFonts w:hint="eastAsia"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73" w:type="dxa"/>
            <w:tcBorders>
              <w:left w:val="single" w:color="000000" w:sz="4" w:space="0"/>
              <w:right w:val="single" w:color="000000" w:sz="4" w:space="0"/>
            </w:tcBorders>
            <w:shd w:val="clear" w:color="auto" w:fill="auto"/>
            <w:vAlign w:val="center"/>
          </w:tcPr>
          <w:p w14:paraId="1F3FD44E">
            <w:pPr>
              <w:jc w:val="center"/>
              <w:rPr>
                <w:rFonts w:hint="default" w:ascii="Arial" w:hAnsi="Arial" w:cs="Arial"/>
                <w:b/>
                <w:bCs/>
                <w:i w:val="0"/>
                <w:iCs w:val="0"/>
                <w:color w:val="000000"/>
                <w:sz w:val="15"/>
                <w:szCs w:val="15"/>
                <w:u w:val="none"/>
              </w:rPr>
            </w:pPr>
          </w:p>
        </w:tc>
      </w:tr>
      <w:tr w14:paraId="117B7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restart"/>
            <w:tcBorders>
              <w:top w:val="single" w:color="000000" w:sz="4" w:space="0"/>
              <w:left w:val="single" w:color="000000" w:sz="4" w:space="0"/>
              <w:bottom w:val="nil"/>
              <w:right w:val="single" w:color="000000" w:sz="4" w:space="0"/>
            </w:tcBorders>
            <w:shd w:val="clear" w:color="auto" w:fill="auto"/>
            <w:vAlign w:val="center"/>
          </w:tcPr>
          <w:p w14:paraId="60D7AC65">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专业</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核心</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p w14:paraId="1784236D">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必修</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647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全科医学概论</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8DD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BA1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top"/>
          </w:tcPr>
          <w:p w14:paraId="4C1B6CC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9BC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F1B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23E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204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F8F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0FD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CA1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262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restart"/>
            <w:tcBorders>
              <w:left w:val="single" w:color="000000" w:sz="4" w:space="0"/>
              <w:right w:val="single" w:color="000000" w:sz="4" w:space="0"/>
            </w:tcBorders>
            <w:shd w:val="clear" w:color="auto" w:fill="auto"/>
            <w:vAlign w:val="center"/>
          </w:tcPr>
          <w:p w14:paraId="04671B71">
            <w:pPr>
              <w:jc w:val="center"/>
              <w:rPr>
                <w:rFonts w:hint="default" w:ascii="Arial" w:hAnsi="Arial" w:cs="Arial"/>
                <w:b/>
                <w:bCs/>
                <w:i w:val="0"/>
                <w:iCs w:val="0"/>
                <w:color w:val="000000"/>
                <w:sz w:val="15"/>
                <w:szCs w:val="15"/>
                <w:u w:val="none"/>
              </w:rPr>
            </w:pPr>
          </w:p>
        </w:tc>
      </w:tr>
      <w:tr w14:paraId="011A3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4AF5BE6E">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136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诊断学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AB8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638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99C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CB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5DD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104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116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14E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E33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D9F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0D4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13×8/</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853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49709B06">
            <w:pPr>
              <w:jc w:val="center"/>
              <w:rPr>
                <w:rFonts w:hint="default" w:ascii="Arial" w:hAnsi="Arial" w:cs="Arial"/>
                <w:b/>
                <w:bCs/>
                <w:i w:val="0"/>
                <w:iCs w:val="0"/>
                <w:color w:val="000000"/>
                <w:sz w:val="15"/>
                <w:szCs w:val="15"/>
                <w:u w:val="none"/>
              </w:rPr>
            </w:pPr>
          </w:p>
        </w:tc>
      </w:tr>
      <w:tr w14:paraId="1C51D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27715E74">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115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内科学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BB7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004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744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ABC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171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152</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D11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122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31C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11A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54F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427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/3×8</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F05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673" w:type="dxa"/>
            <w:vMerge w:val="continue"/>
            <w:tcBorders>
              <w:left w:val="single" w:color="000000" w:sz="4" w:space="0"/>
              <w:right w:val="single" w:color="000000" w:sz="4" w:space="0"/>
            </w:tcBorders>
            <w:shd w:val="clear" w:color="auto" w:fill="auto"/>
            <w:vAlign w:val="center"/>
          </w:tcPr>
          <w:p w14:paraId="6D798491">
            <w:pPr>
              <w:jc w:val="center"/>
              <w:rPr>
                <w:rFonts w:hint="default" w:ascii="Arial" w:hAnsi="Arial" w:cs="Arial"/>
                <w:b/>
                <w:bCs/>
                <w:i w:val="0"/>
                <w:iCs w:val="0"/>
                <w:color w:val="000000"/>
                <w:sz w:val="15"/>
                <w:szCs w:val="15"/>
                <w:u w:val="none"/>
              </w:rPr>
            </w:pPr>
          </w:p>
        </w:tc>
      </w:tr>
      <w:tr w14:paraId="3C4B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211DF690">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820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外科学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E88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0F8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34</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A22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68A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5AC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F68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A6A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568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37F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731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5</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AF6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73" w:type="dxa"/>
            <w:vMerge w:val="continue"/>
            <w:tcBorders>
              <w:left w:val="single" w:color="000000" w:sz="4" w:space="0"/>
              <w:right w:val="single" w:color="000000" w:sz="4" w:space="0"/>
            </w:tcBorders>
            <w:shd w:val="clear" w:color="auto" w:fill="auto"/>
            <w:vAlign w:val="center"/>
          </w:tcPr>
          <w:p w14:paraId="1E2E4466">
            <w:pPr>
              <w:jc w:val="center"/>
              <w:rPr>
                <w:rFonts w:hint="default" w:ascii="Arial" w:hAnsi="Arial" w:cs="Arial"/>
                <w:b/>
                <w:bCs/>
                <w:i w:val="0"/>
                <w:iCs w:val="0"/>
                <w:color w:val="000000"/>
                <w:sz w:val="15"/>
                <w:szCs w:val="15"/>
                <w:u w:val="none"/>
              </w:rPr>
            </w:pPr>
          </w:p>
        </w:tc>
      </w:tr>
      <w:tr w14:paraId="37860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0FE7D7F9">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85F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妇产科学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A32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B5F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816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24E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D4C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80C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D25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AC0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C2F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A52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329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73" w:type="dxa"/>
            <w:vMerge w:val="continue"/>
            <w:tcBorders>
              <w:left w:val="single" w:color="000000" w:sz="4" w:space="0"/>
              <w:right w:val="single" w:color="000000" w:sz="4" w:space="0"/>
            </w:tcBorders>
            <w:shd w:val="clear" w:color="auto" w:fill="auto"/>
            <w:vAlign w:val="center"/>
          </w:tcPr>
          <w:p w14:paraId="3260AB2D">
            <w:pPr>
              <w:jc w:val="center"/>
              <w:rPr>
                <w:rFonts w:hint="default" w:ascii="Arial" w:hAnsi="Arial" w:cs="Arial"/>
                <w:b/>
                <w:bCs/>
                <w:i w:val="0"/>
                <w:iCs w:val="0"/>
                <w:color w:val="000000"/>
                <w:sz w:val="15"/>
                <w:szCs w:val="15"/>
                <w:u w:val="none"/>
              </w:rPr>
            </w:pPr>
          </w:p>
        </w:tc>
      </w:tr>
      <w:tr w14:paraId="3AF1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2B085438">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D12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儿科学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276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ED3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457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44B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DBF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48</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278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38</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41F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B00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D26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242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4AA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w:t>
            </w:r>
          </w:p>
        </w:tc>
        <w:tc>
          <w:tcPr>
            <w:tcW w:w="673" w:type="dxa"/>
            <w:vMerge w:val="continue"/>
            <w:tcBorders>
              <w:left w:val="single" w:color="000000" w:sz="4" w:space="0"/>
              <w:right w:val="single" w:color="000000" w:sz="4" w:space="0"/>
            </w:tcBorders>
            <w:shd w:val="clear" w:color="auto" w:fill="auto"/>
            <w:vAlign w:val="center"/>
          </w:tcPr>
          <w:p w14:paraId="43C38942">
            <w:pPr>
              <w:jc w:val="center"/>
              <w:rPr>
                <w:rFonts w:hint="default" w:ascii="Arial" w:hAnsi="Arial" w:cs="Arial"/>
                <w:b/>
                <w:bCs/>
                <w:i w:val="0"/>
                <w:iCs w:val="0"/>
                <w:color w:val="000000"/>
                <w:sz w:val="15"/>
                <w:szCs w:val="15"/>
                <w:u w:val="none"/>
              </w:rPr>
            </w:pPr>
          </w:p>
        </w:tc>
      </w:tr>
      <w:tr w14:paraId="5349B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4392D391">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9B2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急诊医学+急救知识与技术</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089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D29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3ED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AA5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3E9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32</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089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E23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3DD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BE3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C9C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E3A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1173CB69">
            <w:pPr>
              <w:jc w:val="center"/>
              <w:rPr>
                <w:rFonts w:hint="default" w:ascii="Arial" w:hAnsi="Arial" w:cs="Arial"/>
                <w:b/>
                <w:bCs/>
                <w:i w:val="0"/>
                <w:iCs w:val="0"/>
                <w:color w:val="000000"/>
                <w:sz w:val="15"/>
                <w:szCs w:val="15"/>
                <w:u w:val="none"/>
              </w:rPr>
            </w:pPr>
          </w:p>
        </w:tc>
      </w:tr>
      <w:tr w14:paraId="505F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26BF5FC1">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2D5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中医学基础与适宜技术</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804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319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17B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281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F49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1CC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ACC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CA9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391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46B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5E7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79C18F4F">
            <w:pPr>
              <w:jc w:val="center"/>
              <w:rPr>
                <w:rFonts w:hint="default" w:ascii="Arial" w:hAnsi="Arial" w:cs="Arial"/>
                <w:b/>
                <w:bCs/>
                <w:i w:val="0"/>
                <w:iCs w:val="0"/>
                <w:color w:val="000000"/>
                <w:sz w:val="15"/>
                <w:szCs w:val="15"/>
                <w:u w:val="none"/>
              </w:rPr>
            </w:pPr>
          </w:p>
        </w:tc>
      </w:tr>
      <w:tr w14:paraId="431D2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018E8A97">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62C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企业方向课程①（合作班）/基本公共卫生服务实务（校内班）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A9D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40A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20C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FEA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C27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2FF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08D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A28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E23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4EC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A4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73" w:type="dxa"/>
            <w:vMerge w:val="continue"/>
            <w:tcBorders>
              <w:left w:val="single" w:color="000000" w:sz="4" w:space="0"/>
              <w:right w:val="single" w:color="000000" w:sz="4" w:space="0"/>
            </w:tcBorders>
            <w:shd w:val="clear" w:color="auto" w:fill="auto"/>
            <w:vAlign w:val="center"/>
          </w:tcPr>
          <w:p w14:paraId="1BEEE382">
            <w:pPr>
              <w:jc w:val="center"/>
              <w:rPr>
                <w:rFonts w:hint="default" w:ascii="Arial" w:hAnsi="Arial" w:cs="Arial"/>
                <w:b/>
                <w:bCs/>
                <w:i w:val="0"/>
                <w:iCs w:val="0"/>
                <w:color w:val="000000"/>
                <w:sz w:val="15"/>
                <w:szCs w:val="15"/>
                <w:u w:val="none"/>
              </w:rPr>
            </w:pPr>
          </w:p>
        </w:tc>
      </w:tr>
      <w:tr w14:paraId="03F12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continue"/>
            <w:tcBorders>
              <w:top w:val="single" w:color="000000" w:sz="4" w:space="0"/>
              <w:left w:val="single" w:color="000000" w:sz="4" w:space="0"/>
              <w:bottom w:val="nil"/>
              <w:right w:val="single" w:color="000000" w:sz="4" w:space="0"/>
            </w:tcBorders>
            <w:shd w:val="clear" w:color="auto" w:fill="auto"/>
            <w:vAlign w:val="center"/>
          </w:tcPr>
          <w:p w14:paraId="39889017">
            <w:pPr>
              <w:jc w:val="center"/>
              <w:rPr>
                <w:rFonts w:hint="eastAsia" w:ascii="宋体" w:hAnsi="宋体" w:eastAsia="宋体" w:cs="宋体"/>
                <w:b/>
                <w:bCs/>
                <w:i w:val="0"/>
                <w:iCs w:val="0"/>
                <w:color w:val="000000"/>
                <w:sz w:val="15"/>
                <w:szCs w:val="15"/>
                <w:u w:val="none"/>
              </w:rPr>
            </w:pPr>
          </w:p>
        </w:tc>
        <w:tc>
          <w:tcPr>
            <w:tcW w:w="38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6D95C7">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专业核心课程小计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BF97">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33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D841">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570</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D3D2">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422</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0B79">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148</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BE40">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D699">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C10B">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16</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068D">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19</w:t>
            </w:r>
          </w:p>
        </w:tc>
        <w:tc>
          <w:tcPr>
            <w:tcW w:w="673" w:type="dxa"/>
            <w:vMerge w:val="restart"/>
            <w:tcBorders>
              <w:left w:val="single" w:color="000000" w:sz="4" w:space="0"/>
              <w:right w:val="single" w:color="000000" w:sz="4" w:space="0"/>
            </w:tcBorders>
            <w:shd w:val="clear" w:color="auto" w:fill="auto"/>
            <w:vAlign w:val="center"/>
          </w:tcPr>
          <w:p w14:paraId="29CEF094">
            <w:pPr>
              <w:jc w:val="center"/>
              <w:rPr>
                <w:rFonts w:hint="default" w:ascii="Arial" w:hAnsi="Arial" w:cs="Arial"/>
                <w:b/>
                <w:bCs/>
                <w:i w:val="0"/>
                <w:iCs w:val="0"/>
                <w:color w:val="000000"/>
                <w:sz w:val="15"/>
                <w:szCs w:val="15"/>
                <w:u w:val="none"/>
              </w:rPr>
            </w:pPr>
          </w:p>
        </w:tc>
      </w:tr>
      <w:tr w14:paraId="420F5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41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343BD5">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专业必修课小计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8E91">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59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9063">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1014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FBD8">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770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7BAF">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244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0BB0">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11</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1BF3">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366E">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3077">
            <w:pPr>
              <w:keepNext w:val="0"/>
              <w:keepLines w:val="0"/>
              <w:widowControl/>
              <w:suppressLineNumbers w:val="0"/>
              <w:spacing w:line="240" w:lineRule="auto"/>
              <w:jc w:val="center"/>
              <w:textAlignment w:val="center"/>
              <w:rPr>
                <w:rFonts w:hint="default" w:ascii="宋体" w:hAnsi="宋体" w:eastAsia="宋体" w:cs="宋体"/>
                <w:b/>
                <w:bCs/>
                <w:i w:val="0"/>
                <w:iCs w:val="0"/>
                <w:snapToGrid w:val="0"/>
                <w:color w:val="000000"/>
                <w:kern w:val="0"/>
                <w:sz w:val="16"/>
                <w:szCs w:val="16"/>
                <w:u w:val="none"/>
                <w:lang w:val="en-US" w:eastAsia="zh-CN" w:bidi="ar"/>
              </w:rPr>
            </w:pPr>
            <w:r>
              <w:rPr>
                <w:rFonts w:hint="eastAsia" w:ascii="宋体" w:hAnsi="宋体" w:eastAsia="宋体" w:cs="宋体"/>
                <w:b/>
                <w:bCs/>
                <w:i w:val="0"/>
                <w:iCs w:val="0"/>
                <w:snapToGrid w:val="0"/>
                <w:color w:val="000000"/>
                <w:kern w:val="0"/>
                <w:sz w:val="16"/>
                <w:szCs w:val="16"/>
                <w:u w:val="none"/>
                <w:lang w:val="en-US" w:eastAsia="zh-CN" w:bidi="ar"/>
              </w:rPr>
              <w:t>19</w:t>
            </w:r>
          </w:p>
        </w:tc>
        <w:tc>
          <w:tcPr>
            <w:tcW w:w="673" w:type="dxa"/>
            <w:vMerge w:val="continue"/>
            <w:tcBorders>
              <w:left w:val="single" w:color="000000" w:sz="4" w:space="0"/>
              <w:right w:val="single" w:color="000000" w:sz="4" w:space="0"/>
            </w:tcBorders>
            <w:shd w:val="clear" w:color="auto" w:fill="auto"/>
            <w:vAlign w:val="center"/>
          </w:tcPr>
          <w:p w14:paraId="125F89AF">
            <w:pPr>
              <w:jc w:val="center"/>
              <w:rPr>
                <w:rFonts w:hint="default" w:ascii="Arial" w:hAnsi="Arial" w:cs="Arial"/>
                <w:b/>
                <w:bCs/>
                <w:i w:val="0"/>
                <w:iCs w:val="0"/>
                <w:color w:val="000000"/>
                <w:sz w:val="15"/>
                <w:szCs w:val="15"/>
                <w:u w:val="none"/>
              </w:rPr>
            </w:pPr>
          </w:p>
        </w:tc>
      </w:tr>
      <w:tr w14:paraId="1D08B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315" w:type="dxa"/>
            <w:vMerge w:val="restart"/>
            <w:tcBorders>
              <w:top w:val="single" w:color="000000" w:sz="4" w:space="0"/>
              <w:left w:val="single" w:color="000000" w:sz="4" w:space="0"/>
              <w:right w:val="single" w:color="000000" w:sz="4" w:space="0"/>
            </w:tcBorders>
            <w:shd w:val="clear" w:color="auto" w:fill="auto"/>
            <w:vAlign w:val="center"/>
          </w:tcPr>
          <w:p w14:paraId="5BDAA34D">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专业</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拓展</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p w14:paraId="1732C39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p>
          <w:p w14:paraId="482DA156">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限选</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AAE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医学伦理学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77B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B88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10F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42D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3FB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1C2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20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0AB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A17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BF2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77E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restart"/>
            <w:tcBorders>
              <w:left w:val="single" w:color="000000" w:sz="4" w:space="0"/>
              <w:right w:val="single" w:color="000000" w:sz="4" w:space="0"/>
            </w:tcBorders>
            <w:shd w:val="clear" w:color="auto" w:fill="auto"/>
            <w:vAlign w:val="center"/>
          </w:tcPr>
          <w:p w14:paraId="12CEA19F">
            <w:pPr>
              <w:jc w:val="center"/>
              <w:rPr>
                <w:rFonts w:hint="default" w:ascii="Arial" w:hAnsi="Arial" w:cs="Arial"/>
                <w:b/>
                <w:bCs/>
                <w:i w:val="0"/>
                <w:iCs w:val="0"/>
                <w:color w:val="000000"/>
                <w:sz w:val="15"/>
                <w:szCs w:val="15"/>
                <w:u w:val="none"/>
              </w:rPr>
            </w:pPr>
          </w:p>
        </w:tc>
      </w:tr>
      <w:tr w14:paraId="2EA8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58C34109">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C0E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康复医学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1FA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5A2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6B41">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75C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719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529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620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630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53B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4A2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17C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75EDBE62">
            <w:pPr>
              <w:jc w:val="center"/>
              <w:rPr>
                <w:rFonts w:hint="default" w:ascii="Arial" w:hAnsi="Arial" w:cs="Arial"/>
                <w:b/>
                <w:bCs/>
                <w:i w:val="0"/>
                <w:iCs w:val="0"/>
                <w:color w:val="000000"/>
                <w:sz w:val="15"/>
                <w:szCs w:val="15"/>
                <w:u w:val="none"/>
              </w:rPr>
            </w:pPr>
          </w:p>
        </w:tc>
      </w:tr>
      <w:tr w14:paraId="678BF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315" w:type="dxa"/>
            <w:vMerge w:val="continue"/>
            <w:tcBorders>
              <w:left w:val="single" w:color="000000" w:sz="4" w:space="0"/>
              <w:right w:val="single" w:color="000000" w:sz="4" w:space="0"/>
            </w:tcBorders>
            <w:shd w:val="clear" w:color="auto" w:fill="auto"/>
            <w:vAlign w:val="center"/>
          </w:tcPr>
          <w:p w14:paraId="2371B857">
            <w:pPr>
              <w:jc w:val="center"/>
              <w:rPr>
                <w:rFonts w:hint="eastAsia" w:ascii="宋体" w:hAnsi="宋体" w:eastAsia="宋体" w:cs="宋体"/>
                <w:b/>
                <w:bCs/>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722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传染病学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10E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B12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E23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853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40B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BE3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1B1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247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BEE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888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F10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3BAED322">
            <w:pPr>
              <w:jc w:val="center"/>
              <w:rPr>
                <w:rFonts w:hint="default" w:ascii="Arial" w:hAnsi="Arial" w:cs="Arial"/>
                <w:b/>
                <w:bCs/>
                <w:i w:val="0"/>
                <w:iCs w:val="0"/>
                <w:color w:val="000000"/>
                <w:sz w:val="15"/>
                <w:szCs w:val="15"/>
                <w:u w:val="none"/>
              </w:rPr>
            </w:pPr>
          </w:p>
        </w:tc>
      </w:tr>
      <w:tr w14:paraId="5882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1DD6DFC8">
            <w:pPr>
              <w:jc w:val="left"/>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89D5">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眼耳鼻喉口腔科学</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1B3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8E3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9DA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161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0A3A">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F37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65D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B9B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D76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4A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465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613BA747">
            <w:pPr>
              <w:jc w:val="left"/>
              <w:rPr>
                <w:rFonts w:hint="default" w:ascii="Arial" w:hAnsi="Arial" w:cs="Arial"/>
                <w:i w:val="0"/>
                <w:iCs w:val="0"/>
                <w:color w:val="000000"/>
                <w:sz w:val="15"/>
                <w:szCs w:val="15"/>
                <w:u w:val="none"/>
              </w:rPr>
            </w:pPr>
          </w:p>
        </w:tc>
      </w:tr>
      <w:tr w14:paraId="637D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315" w:type="dxa"/>
            <w:vMerge w:val="continue"/>
            <w:tcBorders>
              <w:left w:val="single" w:color="000000" w:sz="4" w:space="0"/>
              <w:right w:val="single" w:color="000000" w:sz="4" w:space="0"/>
            </w:tcBorders>
            <w:shd w:val="clear" w:color="auto" w:fill="auto"/>
            <w:vAlign w:val="center"/>
          </w:tcPr>
          <w:p w14:paraId="1BB5C3F7">
            <w:pPr>
              <w:jc w:val="left"/>
              <w:rPr>
                <w:rFonts w:hint="default" w:ascii="Arial" w:hAnsi="Arial" w:cs="Arial"/>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B838">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企业方向课程②（合作班）/医患沟通</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954B">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17E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F3B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850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18F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8CFD">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14</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D96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9A5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2B9E">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7DF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319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/2×7</w:t>
            </w:r>
          </w:p>
        </w:tc>
        <w:tc>
          <w:tcPr>
            <w:tcW w:w="673" w:type="dxa"/>
            <w:vMerge w:val="continue"/>
            <w:tcBorders>
              <w:left w:val="single" w:color="000000" w:sz="4" w:space="0"/>
              <w:right w:val="single" w:color="000000" w:sz="4" w:space="0"/>
            </w:tcBorders>
            <w:shd w:val="clear" w:color="auto" w:fill="auto"/>
            <w:vAlign w:val="center"/>
          </w:tcPr>
          <w:p w14:paraId="1E0EC072">
            <w:pPr>
              <w:jc w:val="left"/>
              <w:rPr>
                <w:rFonts w:hint="default" w:ascii="Arial" w:hAnsi="Arial" w:cs="Arial"/>
                <w:i w:val="0"/>
                <w:iCs w:val="0"/>
                <w:color w:val="000000"/>
                <w:sz w:val="15"/>
                <w:szCs w:val="15"/>
                <w:u w:val="none"/>
              </w:rPr>
            </w:pPr>
          </w:p>
        </w:tc>
      </w:tr>
      <w:tr w14:paraId="0554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315" w:type="dxa"/>
            <w:vMerge w:val="continue"/>
            <w:tcBorders>
              <w:left w:val="single" w:color="000000" w:sz="4" w:space="0"/>
              <w:right w:val="single" w:color="000000" w:sz="4" w:space="0"/>
            </w:tcBorders>
            <w:shd w:val="clear" w:color="auto" w:fill="auto"/>
            <w:vAlign w:val="center"/>
          </w:tcPr>
          <w:p w14:paraId="0FE26AAC">
            <w:pPr>
              <w:jc w:val="left"/>
              <w:rPr>
                <w:rFonts w:hint="default" w:ascii="Arial" w:hAnsi="Arial" w:cs="Arial"/>
                <w:i w:val="0"/>
                <w:iCs w:val="0"/>
                <w:color w:val="000000"/>
                <w:sz w:val="15"/>
                <w:szCs w:val="15"/>
                <w:u w:val="none"/>
              </w:rPr>
            </w:pP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58B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企业方向课程③（合作班）/临床实践技能（校内班）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D3A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2626">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AC39">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临床医学院</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97B3">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B592">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96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3E6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20</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5FE7">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76</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4F54">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4A70">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168C">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B3EF">
            <w:pPr>
              <w:keepNext w:val="0"/>
              <w:keepLines w:val="0"/>
              <w:widowControl/>
              <w:suppressLineNumbers w:val="0"/>
              <w:spacing w:line="240" w:lineRule="auto"/>
              <w:jc w:val="center"/>
              <w:textAlignment w:val="center"/>
              <w:rPr>
                <w:rFonts w:hint="default" w:ascii="宋体" w:hAnsi="宋体" w:eastAsia="宋体" w:cs="宋体"/>
                <w:b w:val="0"/>
                <w:i w:val="0"/>
                <w:iCs w:val="0"/>
                <w:snapToGrid w:val="0"/>
                <w:color w:val="000000"/>
                <w:kern w:val="0"/>
                <w:sz w:val="16"/>
                <w:szCs w:val="16"/>
                <w:u w:val="none"/>
                <w:lang w:val="en-US" w:eastAsia="zh-CN" w:bidi="ar"/>
              </w:rPr>
            </w:pPr>
            <w:r>
              <w:rPr>
                <w:rFonts w:hint="eastAsia" w:ascii="宋体" w:hAnsi="宋体" w:eastAsia="宋体" w:cs="宋体"/>
                <w:b w:val="0"/>
                <w:i w:val="0"/>
                <w:iCs w:val="0"/>
                <w:snapToGrid w:val="0"/>
                <w:color w:val="000000"/>
                <w:kern w:val="0"/>
                <w:sz w:val="16"/>
                <w:szCs w:val="16"/>
                <w:u w:val="none"/>
                <w:lang w:val="en-US" w:eastAsia="zh-CN" w:bidi="ar"/>
              </w:rPr>
              <w:t>6</w:t>
            </w:r>
          </w:p>
        </w:tc>
        <w:tc>
          <w:tcPr>
            <w:tcW w:w="673" w:type="dxa"/>
            <w:vMerge w:val="continue"/>
            <w:tcBorders>
              <w:left w:val="single" w:color="000000" w:sz="4" w:space="0"/>
              <w:right w:val="single" w:color="000000" w:sz="4" w:space="0"/>
            </w:tcBorders>
            <w:shd w:val="clear" w:color="auto" w:fill="auto"/>
            <w:vAlign w:val="center"/>
          </w:tcPr>
          <w:p w14:paraId="1AC1C438">
            <w:pPr>
              <w:jc w:val="left"/>
              <w:rPr>
                <w:rFonts w:hint="default" w:ascii="Arial" w:hAnsi="Arial" w:cs="Arial"/>
                <w:i w:val="0"/>
                <w:iCs w:val="0"/>
                <w:color w:val="000000"/>
                <w:sz w:val="15"/>
                <w:szCs w:val="15"/>
                <w:u w:val="none"/>
              </w:rPr>
            </w:pPr>
          </w:p>
        </w:tc>
      </w:tr>
      <w:tr w14:paraId="39398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315" w:type="dxa"/>
            <w:vMerge w:val="continue"/>
            <w:tcBorders>
              <w:left w:val="single" w:color="000000" w:sz="4" w:space="0"/>
              <w:bottom w:val="single" w:color="000000" w:sz="4" w:space="0"/>
              <w:right w:val="single" w:color="000000" w:sz="4" w:space="0"/>
            </w:tcBorders>
            <w:shd w:val="clear" w:color="auto" w:fill="auto"/>
            <w:vAlign w:val="center"/>
          </w:tcPr>
          <w:p w14:paraId="7CD3AB20">
            <w:pPr>
              <w:jc w:val="center"/>
              <w:rPr>
                <w:rFonts w:hint="default" w:ascii="Arial" w:hAnsi="Arial" w:cs="Arial"/>
                <w:i w:val="0"/>
                <w:iCs w:val="0"/>
                <w:color w:val="000000"/>
                <w:sz w:val="15"/>
                <w:szCs w:val="15"/>
                <w:u w:val="none"/>
              </w:rPr>
            </w:pPr>
          </w:p>
        </w:tc>
        <w:tc>
          <w:tcPr>
            <w:tcW w:w="3859" w:type="dxa"/>
            <w:gridSpan w:val="4"/>
            <w:tcBorders>
              <w:left w:val="single" w:color="000000" w:sz="4" w:space="0"/>
              <w:bottom w:val="single" w:color="000000" w:sz="4" w:space="0"/>
              <w:right w:val="single" w:color="000000" w:sz="4" w:space="0"/>
            </w:tcBorders>
            <w:shd w:val="clear" w:color="auto" w:fill="auto"/>
            <w:vAlign w:val="center"/>
          </w:tcPr>
          <w:p w14:paraId="650C4161">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专业限选课小计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A10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1760">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166</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C4F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86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895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80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CD04">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B502">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3D07">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7313">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7</w:t>
            </w:r>
          </w:p>
        </w:tc>
        <w:tc>
          <w:tcPr>
            <w:tcW w:w="673" w:type="dxa"/>
            <w:vMerge w:val="restart"/>
            <w:tcBorders>
              <w:left w:val="single" w:color="000000" w:sz="4" w:space="0"/>
              <w:right w:val="single" w:color="000000" w:sz="4" w:space="0"/>
            </w:tcBorders>
            <w:shd w:val="clear" w:color="auto" w:fill="auto"/>
            <w:vAlign w:val="center"/>
          </w:tcPr>
          <w:p w14:paraId="6E60B1E4">
            <w:pPr>
              <w:jc w:val="left"/>
              <w:rPr>
                <w:rFonts w:hint="default" w:ascii="Arial" w:hAnsi="Arial" w:cs="Arial"/>
                <w:i w:val="0"/>
                <w:iCs w:val="0"/>
                <w:color w:val="000000"/>
                <w:sz w:val="15"/>
                <w:szCs w:val="15"/>
                <w:u w:val="none"/>
              </w:rPr>
            </w:pPr>
          </w:p>
        </w:tc>
      </w:tr>
      <w:tr w14:paraId="019C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174" w:type="dxa"/>
            <w:gridSpan w:val="5"/>
            <w:tcBorders>
              <w:left w:val="single" w:color="000000" w:sz="4" w:space="0"/>
              <w:bottom w:val="single" w:color="000000" w:sz="4" w:space="0"/>
              <w:right w:val="single" w:color="000000" w:sz="4" w:space="0"/>
            </w:tcBorders>
            <w:shd w:val="clear" w:color="auto" w:fill="auto"/>
            <w:vAlign w:val="center"/>
          </w:tcPr>
          <w:p w14:paraId="2192443E">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专业课小计</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90C1">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70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61D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1180</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7FA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856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F0E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324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67B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12</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D6EE">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17</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F710">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20</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F9B8">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26</w:t>
            </w:r>
          </w:p>
        </w:tc>
        <w:tc>
          <w:tcPr>
            <w:tcW w:w="673" w:type="dxa"/>
            <w:vMerge w:val="continue"/>
            <w:tcBorders>
              <w:left w:val="single" w:color="000000" w:sz="4" w:space="0"/>
              <w:right w:val="single" w:color="000000" w:sz="4" w:space="0"/>
            </w:tcBorders>
            <w:shd w:val="clear" w:color="auto" w:fill="auto"/>
            <w:vAlign w:val="center"/>
          </w:tcPr>
          <w:p w14:paraId="16B9B371">
            <w:pPr>
              <w:jc w:val="left"/>
              <w:rPr>
                <w:rFonts w:hint="default" w:ascii="Arial" w:hAnsi="Arial" w:cs="Arial"/>
                <w:i w:val="0"/>
                <w:iCs w:val="0"/>
                <w:color w:val="000000"/>
                <w:sz w:val="15"/>
                <w:szCs w:val="15"/>
                <w:u w:val="none"/>
              </w:rPr>
            </w:pPr>
          </w:p>
        </w:tc>
      </w:tr>
      <w:tr w14:paraId="11555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1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A8A658">
            <w:pPr>
              <w:jc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毕业实习</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936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40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2EDC">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1000</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34C7">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37C1">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1000</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C14E">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D2C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8E0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96D7">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p>
        </w:tc>
        <w:tc>
          <w:tcPr>
            <w:tcW w:w="673" w:type="dxa"/>
            <w:vMerge w:val="continue"/>
            <w:tcBorders>
              <w:left w:val="single" w:color="000000" w:sz="4" w:space="0"/>
              <w:right w:val="single" w:color="000000" w:sz="4" w:space="0"/>
            </w:tcBorders>
            <w:shd w:val="clear" w:color="auto" w:fill="auto"/>
            <w:vAlign w:val="center"/>
          </w:tcPr>
          <w:p w14:paraId="517E21E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p>
        </w:tc>
      </w:tr>
      <w:tr w14:paraId="51DD3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17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2B68F5">
            <w:pPr>
              <w:jc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总学分数、总学时数、周学时数</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top"/>
          </w:tcPr>
          <w:p w14:paraId="1D080003">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156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top"/>
          </w:tcPr>
          <w:p w14:paraId="5526A5ED">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3020</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top"/>
          </w:tcPr>
          <w:p w14:paraId="0D8871F4">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1376</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top"/>
          </w:tcPr>
          <w:p w14:paraId="684F1BB0">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1644</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top"/>
          </w:tcPr>
          <w:p w14:paraId="3053D709">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26</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top"/>
          </w:tcPr>
          <w:p w14:paraId="6E30B7A4">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28</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top"/>
          </w:tcPr>
          <w:p w14:paraId="64E0C6A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26</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top"/>
          </w:tcPr>
          <w:p w14:paraId="43EDFDDC">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27</w:t>
            </w:r>
          </w:p>
        </w:tc>
        <w:tc>
          <w:tcPr>
            <w:tcW w:w="673" w:type="dxa"/>
            <w:vMerge w:val="continue"/>
            <w:tcBorders>
              <w:left w:val="single" w:color="000000" w:sz="4" w:space="0"/>
              <w:right w:val="single" w:color="000000" w:sz="4" w:space="0"/>
            </w:tcBorders>
            <w:shd w:val="clear" w:color="auto" w:fill="auto"/>
            <w:vAlign w:val="center"/>
          </w:tcPr>
          <w:p w14:paraId="622A02D1">
            <w:pPr>
              <w:jc w:val="center"/>
              <w:rPr>
                <w:rFonts w:hint="default" w:ascii="Arial" w:hAnsi="Arial" w:cs="Arial"/>
                <w:b/>
                <w:bCs/>
                <w:i w:val="0"/>
                <w:iCs w:val="0"/>
                <w:color w:val="000000"/>
                <w:sz w:val="15"/>
                <w:szCs w:val="15"/>
                <w:u w:val="none"/>
              </w:rPr>
            </w:pPr>
          </w:p>
        </w:tc>
      </w:tr>
      <w:tr w14:paraId="19571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4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D11194">
            <w:pPr>
              <w:keepNext w:val="0"/>
              <w:keepLines w:val="0"/>
              <w:widowControl/>
              <w:suppressLineNumbers w:val="0"/>
              <w:jc w:val="left"/>
              <w:textAlignment w:val="center"/>
              <w:rPr>
                <w:rFonts w:ascii="宋体" w:hAnsi="宋体" w:eastAsia="宋体" w:cs="宋体"/>
                <w:i w:val="0"/>
                <w:iCs w:val="0"/>
                <w:snapToGrid w:val="0"/>
                <w:color w:val="000000"/>
                <w:kern w:val="0"/>
                <w:sz w:val="15"/>
                <w:szCs w:val="15"/>
                <w:u w:val="none"/>
                <w:lang w:val="en-US" w:eastAsia="zh-CN" w:bidi="ar"/>
              </w:rPr>
            </w:pPr>
            <w:r>
              <w:rPr>
                <w:rFonts w:ascii="宋体" w:hAnsi="宋体" w:eastAsia="宋体" w:cs="宋体"/>
                <w:i w:val="0"/>
                <w:iCs w:val="0"/>
                <w:snapToGrid w:val="0"/>
                <w:color w:val="000000"/>
                <w:kern w:val="0"/>
                <w:sz w:val="15"/>
                <w:szCs w:val="15"/>
                <w:u w:val="none"/>
                <w:lang w:val="en-US" w:eastAsia="zh-CN" w:bidi="ar"/>
              </w:rPr>
              <w:t>毕业考试科目：</w:t>
            </w:r>
          </w:p>
        </w:tc>
        <w:tc>
          <w:tcPr>
            <w:tcW w:w="3670" w:type="dxa"/>
            <w:gridSpan w:val="5"/>
            <w:vMerge w:val="restart"/>
            <w:tcBorders>
              <w:top w:val="single" w:color="000000" w:sz="4" w:space="0"/>
              <w:left w:val="single" w:color="000000" w:sz="4" w:space="0"/>
              <w:right w:val="single" w:color="000000" w:sz="4" w:space="0"/>
            </w:tcBorders>
            <w:shd w:val="clear" w:color="auto" w:fill="auto"/>
            <w:vAlign w:val="center"/>
          </w:tcPr>
          <w:p w14:paraId="7C2BD0A0">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每学期开课门次</w:t>
            </w:r>
          </w:p>
        </w:tc>
        <w:tc>
          <w:tcPr>
            <w:tcW w:w="595" w:type="dxa"/>
            <w:vMerge w:val="restart"/>
            <w:tcBorders>
              <w:top w:val="single" w:color="000000" w:sz="4" w:space="0"/>
              <w:left w:val="single" w:color="000000" w:sz="4" w:space="0"/>
              <w:right w:val="single" w:color="000000" w:sz="4" w:space="0"/>
            </w:tcBorders>
            <w:shd w:val="clear" w:color="auto" w:fill="auto"/>
            <w:vAlign w:val="center"/>
          </w:tcPr>
          <w:p w14:paraId="27673A00">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合计</w:t>
            </w:r>
          </w:p>
        </w:tc>
        <w:tc>
          <w:tcPr>
            <w:tcW w:w="604" w:type="dxa"/>
            <w:vMerge w:val="restart"/>
            <w:tcBorders>
              <w:top w:val="single" w:color="000000" w:sz="4" w:space="0"/>
              <w:left w:val="single" w:color="000000" w:sz="4" w:space="0"/>
              <w:right w:val="single" w:color="000000" w:sz="4" w:space="0"/>
            </w:tcBorders>
            <w:shd w:val="clear" w:color="auto" w:fill="auto"/>
            <w:vAlign w:val="center"/>
          </w:tcPr>
          <w:p w14:paraId="6081970D">
            <w:pPr>
              <w:jc w:val="center"/>
              <w:rPr>
                <w:rFonts w:hint="default"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14</w:t>
            </w:r>
          </w:p>
        </w:tc>
        <w:tc>
          <w:tcPr>
            <w:tcW w:w="631" w:type="dxa"/>
            <w:vMerge w:val="restart"/>
            <w:tcBorders>
              <w:top w:val="single" w:color="000000" w:sz="4" w:space="0"/>
              <w:left w:val="single" w:color="000000" w:sz="4" w:space="0"/>
              <w:right w:val="single" w:color="000000" w:sz="4" w:space="0"/>
            </w:tcBorders>
            <w:shd w:val="clear" w:color="auto" w:fill="auto"/>
            <w:vAlign w:val="center"/>
          </w:tcPr>
          <w:p w14:paraId="22F1F700">
            <w:pPr>
              <w:jc w:val="center"/>
              <w:rPr>
                <w:rFonts w:hint="default"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10</w:t>
            </w:r>
          </w:p>
        </w:tc>
        <w:tc>
          <w:tcPr>
            <w:tcW w:w="617" w:type="dxa"/>
            <w:vMerge w:val="restart"/>
            <w:tcBorders>
              <w:top w:val="single" w:color="000000" w:sz="4" w:space="0"/>
              <w:left w:val="single" w:color="000000" w:sz="4" w:space="0"/>
              <w:right w:val="single" w:color="000000" w:sz="4" w:space="0"/>
            </w:tcBorders>
            <w:shd w:val="clear" w:color="auto" w:fill="auto"/>
            <w:vAlign w:val="center"/>
          </w:tcPr>
          <w:p w14:paraId="6585C082">
            <w:pPr>
              <w:jc w:val="center"/>
              <w:rPr>
                <w:rFonts w:hint="default"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12</w:t>
            </w:r>
          </w:p>
        </w:tc>
        <w:tc>
          <w:tcPr>
            <w:tcW w:w="669" w:type="dxa"/>
            <w:vMerge w:val="restart"/>
            <w:tcBorders>
              <w:top w:val="single" w:color="000000" w:sz="4" w:space="0"/>
              <w:left w:val="single" w:color="000000" w:sz="4" w:space="0"/>
              <w:right w:val="single" w:color="000000" w:sz="4" w:space="0"/>
            </w:tcBorders>
            <w:shd w:val="clear" w:color="auto" w:fill="auto"/>
            <w:vAlign w:val="center"/>
          </w:tcPr>
          <w:p w14:paraId="5E74EDBA">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8</w:t>
            </w:r>
          </w:p>
        </w:tc>
        <w:tc>
          <w:tcPr>
            <w:tcW w:w="673" w:type="dxa"/>
            <w:vMerge w:val="continue"/>
            <w:tcBorders>
              <w:left w:val="single" w:color="000000" w:sz="4" w:space="0"/>
              <w:right w:val="single" w:color="000000" w:sz="4" w:space="0"/>
            </w:tcBorders>
            <w:shd w:val="clear" w:color="auto" w:fill="auto"/>
            <w:vAlign w:val="center"/>
          </w:tcPr>
          <w:p w14:paraId="34041BA3">
            <w:pPr>
              <w:jc w:val="center"/>
              <w:rPr>
                <w:rFonts w:hint="default" w:ascii="Arial" w:hAnsi="Arial" w:cs="Arial"/>
                <w:b/>
                <w:bCs/>
                <w:i w:val="0"/>
                <w:iCs w:val="0"/>
                <w:color w:val="000000"/>
                <w:sz w:val="15"/>
                <w:szCs w:val="15"/>
                <w:u w:val="none"/>
              </w:rPr>
            </w:pPr>
          </w:p>
        </w:tc>
      </w:tr>
      <w:tr w14:paraId="03524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24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A38DE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1.执业助理医考实践技能模拟考试</w:t>
            </w:r>
          </w:p>
        </w:tc>
        <w:tc>
          <w:tcPr>
            <w:tcW w:w="3670" w:type="dxa"/>
            <w:gridSpan w:val="5"/>
            <w:vMerge w:val="continue"/>
            <w:tcBorders>
              <w:left w:val="single" w:color="000000" w:sz="4" w:space="0"/>
              <w:bottom w:val="single" w:color="000000" w:sz="4" w:space="0"/>
              <w:right w:val="single" w:color="000000" w:sz="4" w:space="0"/>
            </w:tcBorders>
            <w:shd w:val="clear" w:color="auto" w:fill="auto"/>
            <w:vAlign w:val="center"/>
          </w:tcPr>
          <w:p w14:paraId="0A727041">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p>
        </w:tc>
        <w:tc>
          <w:tcPr>
            <w:tcW w:w="595" w:type="dxa"/>
            <w:vMerge w:val="continue"/>
            <w:tcBorders>
              <w:left w:val="single" w:color="000000" w:sz="4" w:space="0"/>
              <w:bottom w:val="single" w:color="000000" w:sz="4" w:space="0"/>
              <w:right w:val="single" w:color="000000" w:sz="4" w:space="0"/>
            </w:tcBorders>
            <w:shd w:val="clear" w:color="auto" w:fill="auto"/>
            <w:vAlign w:val="center"/>
          </w:tcPr>
          <w:p w14:paraId="158D3BED">
            <w:pPr>
              <w:keepNext w:val="0"/>
              <w:keepLines w:val="0"/>
              <w:widowControl/>
              <w:suppressLineNumbers w:val="0"/>
              <w:jc w:val="center"/>
              <w:textAlignment w:val="center"/>
              <w:rPr>
                <w:rFonts w:hint="default" w:ascii="Arial" w:hAnsi="Arial" w:cs="Arial"/>
                <w:b/>
                <w:bCs/>
                <w:i w:val="0"/>
                <w:iCs w:val="0"/>
                <w:color w:val="000000"/>
                <w:sz w:val="15"/>
                <w:szCs w:val="15"/>
                <w:u w:val="none"/>
              </w:rPr>
            </w:pPr>
          </w:p>
        </w:tc>
        <w:tc>
          <w:tcPr>
            <w:tcW w:w="604" w:type="dxa"/>
            <w:vMerge w:val="continue"/>
            <w:tcBorders>
              <w:left w:val="single" w:color="000000" w:sz="4" w:space="0"/>
              <w:bottom w:val="single" w:color="000000" w:sz="4" w:space="0"/>
              <w:right w:val="single" w:color="000000" w:sz="4" w:space="0"/>
            </w:tcBorders>
            <w:shd w:val="clear" w:color="auto" w:fill="auto"/>
            <w:vAlign w:val="center"/>
          </w:tcPr>
          <w:p w14:paraId="715AE365">
            <w:pPr>
              <w:jc w:val="center"/>
              <w:rPr>
                <w:rFonts w:hint="default" w:ascii="Arial" w:hAnsi="Arial" w:cs="Arial"/>
                <w:i w:val="0"/>
                <w:iCs w:val="0"/>
                <w:color w:val="000000"/>
                <w:sz w:val="15"/>
                <w:szCs w:val="15"/>
                <w:u w:val="none"/>
              </w:rPr>
            </w:pPr>
          </w:p>
        </w:tc>
        <w:tc>
          <w:tcPr>
            <w:tcW w:w="631" w:type="dxa"/>
            <w:vMerge w:val="continue"/>
            <w:tcBorders>
              <w:left w:val="single" w:color="000000" w:sz="4" w:space="0"/>
              <w:bottom w:val="single" w:color="000000" w:sz="4" w:space="0"/>
              <w:right w:val="single" w:color="000000" w:sz="4" w:space="0"/>
            </w:tcBorders>
            <w:shd w:val="clear" w:color="auto" w:fill="auto"/>
            <w:vAlign w:val="center"/>
          </w:tcPr>
          <w:p w14:paraId="62F8ED30">
            <w:pPr>
              <w:jc w:val="center"/>
              <w:rPr>
                <w:rFonts w:hint="default" w:ascii="Arial" w:hAnsi="Arial" w:cs="Arial"/>
                <w:i w:val="0"/>
                <w:iCs w:val="0"/>
                <w:color w:val="000000"/>
                <w:sz w:val="15"/>
                <w:szCs w:val="15"/>
                <w:u w:val="none"/>
              </w:rPr>
            </w:pPr>
          </w:p>
        </w:tc>
        <w:tc>
          <w:tcPr>
            <w:tcW w:w="617" w:type="dxa"/>
            <w:vMerge w:val="continue"/>
            <w:tcBorders>
              <w:left w:val="single" w:color="000000" w:sz="4" w:space="0"/>
              <w:bottom w:val="single" w:color="000000" w:sz="4" w:space="0"/>
              <w:right w:val="single" w:color="000000" w:sz="4" w:space="0"/>
            </w:tcBorders>
            <w:shd w:val="clear" w:color="auto" w:fill="auto"/>
            <w:vAlign w:val="center"/>
          </w:tcPr>
          <w:p w14:paraId="3D8188BD">
            <w:pPr>
              <w:jc w:val="center"/>
              <w:rPr>
                <w:rFonts w:hint="default" w:ascii="Arial" w:hAnsi="Arial" w:cs="Arial"/>
                <w:i w:val="0"/>
                <w:iCs w:val="0"/>
                <w:color w:val="000000"/>
                <w:sz w:val="15"/>
                <w:szCs w:val="15"/>
                <w:u w:val="none"/>
              </w:rPr>
            </w:pPr>
          </w:p>
        </w:tc>
        <w:tc>
          <w:tcPr>
            <w:tcW w:w="669" w:type="dxa"/>
            <w:vMerge w:val="continue"/>
            <w:tcBorders>
              <w:left w:val="single" w:color="000000" w:sz="4" w:space="0"/>
              <w:bottom w:val="single" w:color="000000" w:sz="4" w:space="0"/>
              <w:right w:val="single" w:color="000000" w:sz="4" w:space="0"/>
            </w:tcBorders>
            <w:shd w:val="clear" w:color="auto" w:fill="auto"/>
            <w:vAlign w:val="center"/>
          </w:tcPr>
          <w:p w14:paraId="6CC42793">
            <w:pPr>
              <w:jc w:val="center"/>
              <w:rPr>
                <w:rFonts w:hint="default" w:ascii="Arial" w:hAnsi="Arial" w:cs="Arial"/>
                <w:i w:val="0"/>
                <w:iCs w:val="0"/>
                <w:color w:val="000000"/>
                <w:sz w:val="15"/>
                <w:szCs w:val="15"/>
                <w:u w:val="none"/>
              </w:rPr>
            </w:pPr>
          </w:p>
        </w:tc>
        <w:tc>
          <w:tcPr>
            <w:tcW w:w="673" w:type="dxa"/>
            <w:vMerge w:val="continue"/>
            <w:tcBorders>
              <w:left w:val="single" w:color="000000" w:sz="4" w:space="0"/>
              <w:right w:val="single" w:color="000000" w:sz="4" w:space="0"/>
            </w:tcBorders>
            <w:shd w:val="clear" w:color="auto" w:fill="auto"/>
            <w:vAlign w:val="center"/>
          </w:tcPr>
          <w:p w14:paraId="4A768513">
            <w:pPr>
              <w:jc w:val="center"/>
              <w:rPr>
                <w:rFonts w:hint="default" w:ascii="Arial" w:hAnsi="Arial" w:cs="Arial"/>
                <w:b/>
                <w:bCs/>
                <w:i w:val="0"/>
                <w:iCs w:val="0"/>
                <w:color w:val="000000"/>
                <w:sz w:val="15"/>
                <w:szCs w:val="15"/>
                <w:u w:val="none"/>
              </w:rPr>
            </w:pPr>
          </w:p>
        </w:tc>
      </w:tr>
      <w:tr w14:paraId="3635E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4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6C422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2.执业助理医师理论模拟考试（第一单元）</w:t>
            </w:r>
          </w:p>
        </w:tc>
        <w:tc>
          <w:tcPr>
            <w:tcW w:w="36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C4AA32">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考试门次</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890E">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合计</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140F">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3</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9555">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7309">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2</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ECFF">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4</w:t>
            </w:r>
          </w:p>
        </w:tc>
        <w:tc>
          <w:tcPr>
            <w:tcW w:w="673" w:type="dxa"/>
            <w:vMerge w:val="continue"/>
            <w:tcBorders>
              <w:left w:val="single" w:color="000000" w:sz="4" w:space="0"/>
              <w:right w:val="single" w:color="000000" w:sz="4" w:space="0"/>
            </w:tcBorders>
            <w:shd w:val="clear" w:color="auto" w:fill="auto"/>
            <w:vAlign w:val="center"/>
          </w:tcPr>
          <w:p w14:paraId="7A9DC997">
            <w:pPr>
              <w:jc w:val="center"/>
              <w:rPr>
                <w:rFonts w:hint="default" w:ascii="Arial" w:hAnsi="Arial" w:cs="Arial"/>
                <w:b/>
                <w:bCs/>
                <w:i w:val="0"/>
                <w:iCs w:val="0"/>
                <w:color w:val="000000"/>
                <w:sz w:val="15"/>
                <w:szCs w:val="15"/>
                <w:u w:val="none"/>
              </w:rPr>
            </w:pPr>
          </w:p>
        </w:tc>
      </w:tr>
      <w:tr w14:paraId="39F41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4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8F3F9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3.执业助理医师理论模拟考试（第二单元）</w:t>
            </w:r>
          </w:p>
        </w:tc>
        <w:tc>
          <w:tcPr>
            <w:tcW w:w="36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3E0C1A">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考查门次</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069B">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合计</w:t>
            </w: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3591">
            <w:pPr>
              <w:jc w:val="center"/>
              <w:rPr>
                <w:rFonts w:hint="default"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11</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471A">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9D22">
            <w:pPr>
              <w:jc w:val="center"/>
              <w:rPr>
                <w:rFonts w:hint="default"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10</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E8E5">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4</w:t>
            </w:r>
          </w:p>
        </w:tc>
        <w:tc>
          <w:tcPr>
            <w:tcW w:w="673" w:type="dxa"/>
            <w:vMerge w:val="continue"/>
            <w:tcBorders>
              <w:left w:val="single" w:color="000000" w:sz="4" w:space="0"/>
              <w:bottom w:val="single" w:color="000000" w:sz="4" w:space="0"/>
              <w:right w:val="single" w:color="000000" w:sz="4" w:space="0"/>
            </w:tcBorders>
            <w:shd w:val="clear" w:color="auto" w:fill="auto"/>
            <w:vAlign w:val="center"/>
          </w:tcPr>
          <w:p w14:paraId="6E3E0BAC">
            <w:pPr>
              <w:jc w:val="center"/>
              <w:rPr>
                <w:rFonts w:hint="default" w:ascii="Arial" w:hAnsi="Arial" w:cs="Arial"/>
                <w:b/>
                <w:bCs/>
                <w:i w:val="0"/>
                <w:iCs w:val="0"/>
                <w:color w:val="000000"/>
                <w:sz w:val="15"/>
                <w:szCs w:val="15"/>
                <w:u w:val="none"/>
              </w:rPr>
            </w:pPr>
          </w:p>
        </w:tc>
      </w:tr>
    </w:tbl>
    <w:tbl>
      <w:tblPr>
        <w:tblStyle w:val="10"/>
        <w:tblpPr w:leftFromText="180" w:rightFromText="180" w:vertAnchor="text" w:tblpX="10750" w:tblpY="49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tblGrid>
      <w:tr w14:paraId="6327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605" w:type="dxa"/>
          </w:tcPr>
          <w:p w14:paraId="64740D5C">
            <w:pPr>
              <w:widowControl w:val="0"/>
              <w:spacing w:line="26" w:lineRule="exact"/>
              <w:rPr>
                <w:vertAlign w:val="baseline"/>
              </w:rPr>
            </w:pPr>
          </w:p>
        </w:tc>
      </w:tr>
    </w:tbl>
    <w:p w14:paraId="750C2E37">
      <w:pPr>
        <w:spacing w:line="26" w:lineRule="exact"/>
      </w:pPr>
    </w:p>
    <w:p w14:paraId="5FC102C7">
      <w:pPr>
        <w:pStyle w:val="5"/>
        <w:spacing w:line="320" w:lineRule="auto"/>
        <w:ind w:right="465" w:firstLine="416" w:firstLineChars="200"/>
        <w:jc w:val="left"/>
        <w:rPr>
          <w:rFonts w:hint="eastAsia"/>
          <w:b w:val="0"/>
          <w:color w:val="auto"/>
          <w:spacing w:val="-1"/>
          <w:kern w:val="0"/>
          <w:sz w:val="21"/>
          <w:szCs w:val="21"/>
          <w:highlight w:val="none"/>
          <w:lang w:val="en-US" w:eastAsia="zh-CN"/>
        </w:rPr>
      </w:pPr>
      <w:r>
        <w:rPr>
          <w:rFonts w:hint="eastAsia"/>
          <w:b w:val="0"/>
          <w:color w:val="auto"/>
          <w:spacing w:val="-1"/>
          <w:kern w:val="0"/>
          <w:sz w:val="21"/>
          <w:szCs w:val="21"/>
          <w:highlight w:val="none"/>
          <w:lang w:val="en-US" w:eastAsia="zh-CN"/>
        </w:rPr>
        <w:t>备注：</w:t>
      </w:r>
    </w:p>
    <w:p w14:paraId="342EEB9F">
      <w:pPr>
        <w:pStyle w:val="5"/>
        <w:spacing w:line="320" w:lineRule="auto"/>
        <w:ind w:right="465" w:firstLine="416" w:firstLineChars="200"/>
        <w:jc w:val="left"/>
        <w:rPr>
          <w:rFonts w:hint="eastAsia"/>
          <w:b w:val="0"/>
          <w:color w:val="auto"/>
          <w:spacing w:val="-1"/>
          <w:kern w:val="0"/>
          <w:sz w:val="21"/>
          <w:szCs w:val="21"/>
          <w:highlight w:val="none"/>
          <w:lang w:val="en-US" w:eastAsia="zh-CN"/>
        </w:rPr>
      </w:pPr>
      <w:r>
        <w:rPr>
          <w:rFonts w:hint="eastAsia"/>
          <w:b w:val="0"/>
          <w:color w:val="auto"/>
          <w:spacing w:val="-1"/>
          <w:kern w:val="0"/>
          <w:sz w:val="21"/>
          <w:szCs w:val="21"/>
          <w:highlight w:val="none"/>
          <w:lang w:val="en-US" w:eastAsia="zh-CN"/>
        </w:rPr>
        <w:t>1.企业方向课程①②③需在“0.5”阶段需在“0.5”阶段由行业、企业导师讲授。</w:t>
      </w:r>
    </w:p>
    <w:p w14:paraId="000A8891">
      <w:pPr>
        <w:pStyle w:val="5"/>
        <w:spacing w:line="320" w:lineRule="auto"/>
        <w:ind w:right="465" w:firstLine="416" w:firstLineChars="200"/>
        <w:jc w:val="left"/>
        <w:rPr>
          <w:rFonts w:hint="eastAsia"/>
          <w:b w:val="0"/>
          <w:color w:val="auto"/>
          <w:spacing w:val="-1"/>
          <w:kern w:val="0"/>
          <w:sz w:val="21"/>
          <w:szCs w:val="21"/>
          <w:highlight w:val="none"/>
          <w:lang w:val="en-US" w:eastAsia="zh-CN"/>
        </w:rPr>
      </w:pPr>
      <w:r>
        <w:rPr>
          <w:rFonts w:hint="eastAsia"/>
          <w:b w:val="0"/>
          <w:color w:val="auto"/>
          <w:spacing w:val="-1"/>
          <w:kern w:val="0"/>
          <w:sz w:val="21"/>
          <w:szCs w:val="21"/>
          <w:highlight w:val="none"/>
          <w:lang w:val="en-US" w:eastAsia="zh-CN"/>
        </w:rPr>
        <w:t>2.</w:t>
      </w:r>
      <w:r>
        <w:rPr>
          <w:rFonts w:hint="eastAsia"/>
          <w:b w:val="0"/>
          <w:color w:val="auto"/>
          <w:spacing w:val="-1"/>
          <w:kern w:val="0"/>
          <w:sz w:val="21"/>
          <w:szCs w:val="21"/>
          <w:highlight w:val="none"/>
          <w:lang w:eastAsia="zh-CN"/>
        </w:rPr>
        <w:t>《内科学》《外科学》《妇产科学》《儿科学》由校内/行业企业校外讲授，校内外课程同步。《形势与政策》采用校内教师线上教学方式授课</w:t>
      </w:r>
      <w:r>
        <w:rPr>
          <w:rFonts w:hint="eastAsia"/>
          <w:b w:val="0"/>
          <w:color w:val="auto"/>
          <w:spacing w:val="-1"/>
          <w:kern w:val="0"/>
          <w:sz w:val="21"/>
          <w:szCs w:val="21"/>
          <w:highlight w:val="none"/>
          <w:lang w:val="en-US" w:eastAsia="zh-CN"/>
        </w:rPr>
        <w:t>。</w:t>
      </w:r>
    </w:p>
    <w:p w14:paraId="10CCE00D">
      <w:pPr>
        <w:pStyle w:val="5"/>
        <w:spacing w:line="320" w:lineRule="auto"/>
        <w:ind w:right="465" w:firstLine="416" w:firstLineChars="200"/>
        <w:jc w:val="left"/>
        <w:rPr>
          <w:rFonts w:hint="eastAsia"/>
          <w:b w:val="0"/>
          <w:color w:val="auto"/>
          <w:spacing w:val="-1"/>
          <w:kern w:val="0"/>
          <w:sz w:val="21"/>
          <w:szCs w:val="21"/>
          <w:highlight w:val="none"/>
          <w:lang w:val="en-US" w:eastAsia="zh-CN"/>
        </w:rPr>
      </w:pPr>
      <w:r>
        <w:rPr>
          <w:rFonts w:hint="eastAsia"/>
          <w:b w:val="0"/>
          <w:color w:val="auto"/>
          <w:spacing w:val="-1"/>
          <w:kern w:val="0"/>
          <w:sz w:val="21"/>
          <w:szCs w:val="21"/>
          <w:highlight w:val="none"/>
          <w:lang w:val="en-US" w:eastAsia="zh-CN"/>
        </w:rPr>
        <w:t>3.不计入周课堂教学时数情况：</w:t>
      </w:r>
    </w:p>
    <w:p w14:paraId="4B3A7491">
      <w:pPr>
        <w:pStyle w:val="5"/>
        <w:spacing w:line="320" w:lineRule="auto"/>
        <w:ind w:right="465" w:firstLine="416" w:firstLineChars="200"/>
        <w:jc w:val="left"/>
        <w:rPr>
          <w:rFonts w:hint="default"/>
          <w:b w:val="0"/>
          <w:color w:val="auto"/>
          <w:spacing w:val="-1"/>
          <w:kern w:val="0"/>
          <w:sz w:val="21"/>
          <w:szCs w:val="21"/>
          <w:highlight w:val="none"/>
          <w:lang w:val="en-US" w:eastAsia="zh-CN"/>
        </w:rPr>
      </w:pPr>
      <w:r>
        <w:rPr>
          <w:rFonts w:hint="eastAsia"/>
          <w:b w:val="0"/>
          <w:color w:val="auto"/>
          <w:spacing w:val="-1"/>
          <w:kern w:val="0"/>
          <w:sz w:val="21"/>
          <w:szCs w:val="21"/>
          <w:highlight w:val="none"/>
          <w:lang w:val="en-US" w:eastAsia="zh-CN"/>
        </w:rPr>
        <w:t>※表示线上通识课，由学生课余在线上自主学习；❖表示课外实践，由学生根据专业或相关部门的安排自主选择时间完成。</w:t>
      </w:r>
    </w:p>
    <w:p w14:paraId="2797C7F6">
      <w:pPr>
        <w:pStyle w:val="5"/>
        <w:spacing w:line="320" w:lineRule="auto"/>
        <w:ind w:right="465" w:firstLine="416" w:firstLineChars="200"/>
        <w:jc w:val="left"/>
        <w:rPr>
          <w:rFonts w:hint="eastAsia"/>
          <w:b w:val="0"/>
          <w:color w:val="auto"/>
          <w:spacing w:val="-1"/>
          <w:kern w:val="0"/>
          <w:sz w:val="21"/>
          <w:szCs w:val="21"/>
          <w:highlight w:val="none"/>
          <w:lang w:val="en-US" w:eastAsia="zh-CN"/>
        </w:rPr>
      </w:pPr>
      <w:r>
        <w:rPr>
          <w:rFonts w:hint="eastAsia"/>
          <w:b w:val="0"/>
          <w:color w:val="auto"/>
          <w:spacing w:val="-1"/>
          <w:kern w:val="0"/>
          <w:sz w:val="21"/>
          <w:szCs w:val="21"/>
          <w:highlight w:val="none"/>
          <w:lang w:val="en-US" w:eastAsia="zh-CN"/>
        </w:rPr>
        <w:t>4.考核方式：</w:t>
      </w:r>
    </w:p>
    <w:p w14:paraId="46FA8B4A">
      <w:pPr>
        <w:pStyle w:val="5"/>
        <w:spacing w:line="320" w:lineRule="auto"/>
        <w:ind w:right="465" w:firstLine="416" w:firstLineChars="200"/>
        <w:jc w:val="left"/>
        <w:rPr>
          <w:rFonts w:hint="eastAsia" w:ascii="仿宋" w:hAnsi="仿宋" w:eastAsia="仿宋" w:cs="仿宋"/>
          <w:snapToGrid w:val="0"/>
          <w:color w:val="auto"/>
          <w:spacing w:val="-1"/>
          <w:kern w:val="0"/>
          <w:sz w:val="28"/>
          <w:szCs w:val="28"/>
          <w:lang w:val="en-US" w:eastAsia="zh-CN" w:bidi="ar-SA"/>
        </w:rPr>
      </w:pPr>
      <w:r>
        <w:rPr>
          <w:rFonts w:hint="eastAsia"/>
          <w:b w:val="0"/>
          <w:color w:val="auto"/>
          <w:spacing w:val="-1"/>
          <w:kern w:val="0"/>
          <w:sz w:val="21"/>
          <w:szCs w:val="21"/>
          <w:highlight w:val="none"/>
          <w:lang w:val="en-US" w:eastAsia="zh-CN"/>
        </w:rPr>
        <w:t>★表示考核方式为考试，●表示考核方式为考查。</w:t>
      </w:r>
    </w:p>
    <w:p w14:paraId="71346143">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29" w:name="_Toc29117"/>
      <w:bookmarkStart w:id="30" w:name="_Toc32729"/>
      <w:r>
        <w:t>（三）第二课堂安排表</w:t>
      </w:r>
      <w:bookmarkEnd w:id="29"/>
      <w:bookmarkEnd w:id="30"/>
    </w:p>
    <w:p w14:paraId="746C7885">
      <w:pPr>
        <w:spacing w:line="30" w:lineRule="auto"/>
        <w:rPr>
          <w:rFonts w:ascii="Arial"/>
          <w:sz w:val="2"/>
        </w:rPr>
      </w:pPr>
    </w:p>
    <w:tbl>
      <w:tblPr>
        <w:tblStyle w:val="9"/>
        <w:tblW w:w="888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19"/>
        <w:gridCol w:w="720"/>
        <w:gridCol w:w="780"/>
        <w:gridCol w:w="825"/>
        <w:gridCol w:w="750"/>
        <w:gridCol w:w="720"/>
        <w:gridCol w:w="750"/>
        <w:gridCol w:w="725"/>
      </w:tblGrid>
      <w:tr w14:paraId="17104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6CA23">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教学内容</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3EDDE9">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学 分</w:t>
            </w:r>
          </w:p>
        </w:tc>
        <w:tc>
          <w:tcPr>
            <w:tcW w:w="4550"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70B79500">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实践学时</w:t>
            </w:r>
          </w:p>
        </w:tc>
      </w:tr>
      <w:tr w14:paraId="6EA1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4A7FC">
            <w:pPr>
              <w:spacing w:line="240" w:lineRule="auto"/>
              <w:jc w:val="center"/>
              <w:rPr>
                <w:rFonts w:hint="eastAsia" w:ascii="仿宋" w:hAnsi="仿宋" w:eastAsia="仿宋" w:cs="仿宋"/>
                <w:b/>
                <w:bCs/>
                <w:color w:val="auto"/>
                <w:kern w:val="0"/>
                <w:sz w:val="20"/>
                <w:szCs w:val="20"/>
                <w:highlight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0DF45">
            <w:pPr>
              <w:spacing w:line="240" w:lineRule="auto"/>
              <w:jc w:val="center"/>
              <w:rPr>
                <w:rFonts w:hint="eastAsia" w:ascii="仿宋" w:hAnsi="仿宋" w:eastAsia="仿宋" w:cs="仿宋"/>
                <w:b/>
                <w:bCs/>
                <w:color w:val="auto"/>
                <w:kern w:val="0"/>
                <w:sz w:val="20"/>
                <w:szCs w:val="20"/>
                <w:highlight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9883E">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第一学年</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7C731D">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第二学年</w:t>
            </w:r>
          </w:p>
        </w:tc>
        <w:tc>
          <w:tcPr>
            <w:tcW w:w="147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F4C971D">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第三学年</w:t>
            </w:r>
          </w:p>
        </w:tc>
      </w:tr>
      <w:tr w14:paraId="1A61D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856FA">
            <w:pPr>
              <w:spacing w:line="240" w:lineRule="auto"/>
              <w:jc w:val="center"/>
              <w:rPr>
                <w:rFonts w:hint="eastAsia" w:ascii="仿宋" w:hAnsi="仿宋" w:eastAsia="仿宋" w:cs="仿宋"/>
                <w:b/>
                <w:bCs/>
                <w:color w:val="auto"/>
                <w:kern w:val="0"/>
                <w:sz w:val="20"/>
                <w:szCs w:val="20"/>
                <w:highlight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A7898">
            <w:pPr>
              <w:spacing w:line="240" w:lineRule="auto"/>
              <w:jc w:val="center"/>
              <w:rPr>
                <w:rFonts w:hint="eastAsia" w:ascii="仿宋" w:hAnsi="仿宋" w:eastAsia="仿宋" w:cs="仿宋"/>
                <w:b/>
                <w:bCs/>
                <w:color w:val="auto"/>
                <w:kern w:val="0"/>
                <w:sz w:val="20"/>
                <w:szCs w:val="20"/>
                <w:highlight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641F">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一</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F025">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6E0D">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B6A2">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四</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638D">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五</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2666">
            <w:pPr>
              <w:spacing w:line="240" w:lineRule="auto"/>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六</w:t>
            </w:r>
          </w:p>
        </w:tc>
      </w:tr>
      <w:tr w14:paraId="38283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F483">
            <w:pPr>
              <w:spacing w:line="240" w:lineRule="auto"/>
              <w:jc w:val="center"/>
              <w:rPr>
                <w:rFonts w:hint="eastAsia"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基层医疗机构岗位、人员、设施设备配置情况调研</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9879">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0.5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C3C2">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2E7B">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A75C">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39E4">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2B95">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49D5">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157F1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6EFB">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参加创新创业活动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9FB9">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0.5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6520">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05CC">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DD38">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6EFD">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BEBC">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9EAB">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2B0C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3F8B">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国家临床助理医师资格考试指南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804C">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E679">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169B">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D2CE">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8AF1">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FF96">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7112">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2296C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CE8B">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健康管理师考试培训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F30A">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3B68">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926A">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C567">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FEC5">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E606">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55F1">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77DD3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A08A">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急救救护员培训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047C">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1A80">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61A8">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0B6B">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BEA5">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8678">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855E">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3F81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D5CD">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三级心理咨询师考试培训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DE09">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5345">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0ABE">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8F34">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E323">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2A05">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ADC1">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527A3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0D6C">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参加临床医学专业技能竞赛培训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425F">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0.5-5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7983">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CDD0">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31CF">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2459">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40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BFA3">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9F75">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3B11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FF57">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微专业培训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EC89">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4D6E">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564B">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417A">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0A21">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48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201C">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C337">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57A23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9CCC">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计算机等级证书培训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5DD8">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31AE">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5A25">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6D85">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E2D3">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8955">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BC34">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2AD88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7E20">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英语等级证书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8C17">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ED2E">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DE1D">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841C">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EB5B">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9C3E">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3E03">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64263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83B4">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生产劳动、服务性劳动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FA61">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4E49">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6A16">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E0BC">
            <w:pPr>
              <w:spacing w:line="240" w:lineRule="auto"/>
              <w:jc w:val="center"/>
              <w:rPr>
                <w:rFonts w:hint="default" w:ascii="仿宋_GB2312" w:hAnsi="华文仿宋" w:eastAsia="仿宋_GB2312"/>
                <w:b w:val="0"/>
                <w:color w:val="auto"/>
                <w:kern w:val="0"/>
                <w:sz w:val="18"/>
                <w:szCs w:val="18"/>
                <w:highlight w:val="none"/>
                <w:lang w:val="en-US" w:eastAsia="en-US"/>
              </w:rPr>
            </w:pPr>
            <w:r>
              <w:rPr>
                <w:rFonts w:hint="eastAsia" w:ascii="仿宋_GB2312" w:hAnsi="华文仿宋" w:eastAsia="仿宋_GB2312"/>
                <w:b w:val="0"/>
                <w:color w:val="auto"/>
                <w:kern w:val="0"/>
                <w:sz w:val="18"/>
                <w:szCs w:val="18"/>
                <w:highlight w:val="none"/>
                <w:lang w:val="en-US" w:eastAsia="zh-CN"/>
              </w:rPr>
              <w:t>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47A5C">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45EF">
            <w:pPr>
              <w:spacing w:line="240" w:lineRule="auto"/>
              <w:jc w:val="center"/>
              <w:rPr>
                <w:rFonts w:hint="default" w:ascii="仿宋_GB2312" w:hAnsi="华文仿宋" w:eastAsia="仿宋_GB2312"/>
                <w:b w:val="0"/>
                <w:color w:val="auto"/>
                <w:kern w:val="0"/>
                <w:sz w:val="18"/>
                <w:szCs w:val="18"/>
                <w:highlight w:val="none"/>
                <w:lang w:val="en-US"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7735">
            <w:pPr>
              <w:spacing w:line="240" w:lineRule="auto"/>
              <w:jc w:val="center"/>
              <w:rPr>
                <w:rFonts w:hint="default" w:ascii="仿宋_GB2312" w:hAnsi="华文仿宋" w:eastAsia="仿宋_GB2312"/>
                <w:b w:val="0"/>
                <w:color w:val="auto"/>
                <w:kern w:val="0"/>
                <w:sz w:val="18"/>
                <w:szCs w:val="18"/>
                <w:highlight w:val="none"/>
                <w:lang w:val="en-US" w:eastAsia="en-US"/>
              </w:rPr>
            </w:pPr>
          </w:p>
        </w:tc>
      </w:tr>
      <w:tr w14:paraId="5F0A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40F8">
            <w:pPr>
              <w:spacing w:line="240" w:lineRule="auto"/>
              <w:jc w:val="center"/>
              <w:rPr>
                <w:rFonts w:hint="eastAsia" w:ascii="仿宋_GB2312" w:hAnsi="华文仿宋" w:eastAsia="仿宋_GB2312"/>
                <w:b w:val="0"/>
                <w:color w:val="auto"/>
                <w:kern w:val="0"/>
                <w:sz w:val="18"/>
                <w:szCs w:val="18"/>
                <w:highlight w:val="none"/>
                <w:lang w:val="en-US" w:eastAsia="zh-CN"/>
              </w:rPr>
            </w:pPr>
            <w:r>
              <w:rPr>
                <w:rFonts w:hint="eastAsia" w:ascii="仿宋_GB2312" w:hAnsi="华文仿宋" w:eastAsia="仿宋_GB2312"/>
                <w:b w:val="0"/>
                <w:color w:val="auto"/>
                <w:kern w:val="0"/>
                <w:sz w:val="18"/>
                <w:szCs w:val="18"/>
                <w:highlight w:val="none"/>
                <w:lang w:val="en-US" w:eastAsia="zh-CN"/>
              </w:rPr>
              <w:t>合计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2FE9">
            <w:pPr>
              <w:spacing w:line="240" w:lineRule="auto"/>
              <w:jc w:val="center"/>
              <w:rPr>
                <w:rFonts w:hint="default" w:ascii="仿宋_GB2312" w:hAnsi="华文仿宋" w:eastAsia="仿宋_GB2312"/>
                <w:b w:val="0"/>
                <w:color w:val="auto"/>
                <w:kern w:val="0"/>
                <w:sz w:val="18"/>
                <w:szCs w:val="18"/>
                <w:highlight w:val="none"/>
                <w:lang w:val="en-US" w:eastAsia="zh-CN"/>
              </w:rPr>
            </w:pPr>
            <w:r>
              <w:rPr>
                <w:rFonts w:hint="eastAsia" w:ascii="仿宋_GB2312" w:hAnsi="华文仿宋" w:eastAsia="仿宋_GB2312"/>
                <w:b w:val="0"/>
                <w:color w:val="auto"/>
                <w:kern w:val="0"/>
                <w:sz w:val="18"/>
                <w:szCs w:val="18"/>
                <w:highlight w:val="none"/>
                <w:lang w:val="en-US" w:eastAsia="zh-CN"/>
              </w:rPr>
              <w:t>18.5-23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D28F">
            <w:pPr>
              <w:spacing w:line="240" w:lineRule="auto"/>
              <w:jc w:val="center"/>
              <w:rPr>
                <w:rFonts w:hint="default" w:ascii="仿宋_GB2312" w:hAnsi="华文仿宋" w:eastAsia="仿宋_GB2312"/>
                <w:b w:val="0"/>
                <w:color w:val="auto"/>
                <w:kern w:val="0"/>
                <w:sz w:val="18"/>
                <w:szCs w:val="18"/>
                <w:highlight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4E44">
            <w:pPr>
              <w:spacing w:line="240" w:lineRule="auto"/>
              <w:jc w:val="center"/>
              <w:rPr>
                <w:rFonts w:hint="default" w:ascii="仿宋_GB2312" w:hAnsi="华文仿宋" w:eastAsia="仿宋_GB2312"/>
                <w:b w:val="0"/>
                <w:color w:val="auto"/>
                <w:kern w:val="0"/>
                <w:sz w:val="18"/>
                <w:szCs w:val="18"/>
                <w:highlight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2CAE">
            <w:pPr>
              <w:spacing w:line="240" w:lineRule="auto"/>
              <w:jc w:val="center"/>
              <w:rPr>
                <w:rFonts w:hint="default" w:ascii="仿宋_GB2312" w:hAnsi="华文仿宋" w:eastAsia="仿宋_GB2312"/>
                <w:b w:val="0"/>
                <w:color w:val="auto"/>
                <w:kern w:val="0"/>
                <w:sz w:val="18"/>
                <w:szCs w:val="18"/>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E4C8">
            <w:pPr>
              <w:spacing w:line="240" w:lineRule="auto"/>
              <w:jc w:val="center"/>
              <w:rPr>
                <w:rFonts w:hint="default" w:ascii="仿宋_GB2312" w:hAnsi="华文仿宋" w:eastAsia="仿宋_GB2312"/>
                <w:b w:val="0"/>
                <w:color w:val="auto"/>
                <w:kern w:val="0"/>
                <w:sz w:val="18"/>
                <w:szCs w:val="18"/>
                <w:highlight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870C">
            <w:pPr>
              <w:spacing w:line="240" w:lineRule="auto"/>
              <w:jc w:val="center"/>
              <w:rPr>
                <w:rFonts w:hint="default" w:ascii="仿宋_GB2312" w:hAnsi="华文仿宋" w:eastAsia="仿宋_GB2312"/>
                <w:b w:val="0"/>
                <w:color w:val="auto"/>
                <w:kern w:val="0"/>
                <w:sz w:val="18"/>
                <w:szCs w:val="18"/>
                <w:highlight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6FDC">
            <w:pPr>
              <w:spacing w:line="240" w:lineRule="auto"/>
              <w:jc w:val="center"/>
              <w:rPr>
                <w:rFonts w:hint="eastAsia" w:ascii="仿宋_GB2312" w:hAnsi="华文仿宋" w:eastAsia="仿宋_GB2312"/>
                <w:b w:val="0"/>
                <w:color w:val="auto"/>
                <w:kern w:val="0"/>
                <w:sz w:val="18"/>
                <w:szCs w:val="18"/>
                <w:highlight w:val="none"/>
              </w:rPr>
            </w:pPr>
          </w:p>
        </w:tc>
      </w:tr>
    </w:tbl>
    <w:p w14:paraId="75FAC2AF">
      <w:pPr>
        <w:pStyle w:val="5"/>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360" w:firstLineChars="200"/>
        <w:textAlignment w:val="baseline"/>
        <w:rPr>
          <w:rFonts w:hint="eastAsia"/>
          <w:color w:val="auto"/>
          <w:spacing w:val="-1"/>
          <w:sz w:val="28"/>
          <w:szCs w:val="28"/>
          <w:lang w:val="en-US" w:eastAsia="zh-CN"/>
        </w:rPr>
      </w:pPr>
      <w:bookmarkStart w:id="31" w:name="_Toc3441"/>
      <w:bookmarkStart w:id="32" w:name="_Toc29660"/>
      <w:r>
        <w:rPr>
          <w:rFonts w:hint="eastAsia" w:ascii="仿宋_GB2312" w:hAnsi="华文仿宋" w:eastAsia="仿宋_GB2312" w:cs="Arial"/>
          <w:b w:val="0"/>
          <w:snapToGrid w:val="0"/>
          <w:color w:val="auto"/>
          <w:kern w:val="0"/>
          <w:sz w:val="18"/>
          <w:szCs w:val="18"/>
          <w:highlight w:val="none"/>
          <w:lang w:val="en-US" w:eastAsia="zh-CN" w:bidi="ar-SA"/>
        </w:rPr>
        <w:t>第二课堂学分修满4分，计算如下：①参加社会实践或创新创业活动，每次计0.5学分；②参加助理执业资格考试培训计2分；③考取计算机、英语等级证书、职业技能等级证书，每证计2学分；④参加各类竞赛，获国家级一等奖计5学分、二等奖计3学分、三等奖计2学分；获省级一等奖计3学分、二等奖计2学分、三等奖计1学分；获校级一等奖计1.5学分、二等奖计1学分、三等奖计0.5学分。⑤参加劳动教育周，每次计1学分。⑥参加微专业培训，每次计3学分。</w:t>
      </w:r>
    </w:p>
    <w:p w14:paraId="300A4D90">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r>
        <w:t>（四）实践教学安排表</w:t>
      </w:r>
      <w:bookmarkEnd w:id="31"/>
      <w:bookmarkEnd w:id="32"/>
    </w:p>
    <w:p w14:paraId="6CB52A7C">
      <w:pPr>
        <w:rPr>
          <w:rFonts w:hint="eastAsia"/>
          <w:lang w:val="en-US" w:eastAsia="zh-CN"/>
        </w:rPr>
      </w:pPr>
    </w:p>
    <w:tbl>
      <w:tblPr>
        <w:tblStyle w:val="9"/>
        <w:tblW w:w="95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91"/>
        <w:gridCol w:w="824"/>
        <w:gridCol w:w="1069"/>
        <w:gridCol w:w="823"/>
        <w:gridCol w:w="859"/>
        <w:gridCol w:w="3951"/>
      </w:tblGrid>
      <w:tr w14:paraId="76E0B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exact"/>
        </w:trPr>
        <w:tc>
          <w:tcPr>
            <w:tcW w:w="1991" w:type="dxa"/>
            <w:vMerge w:val="restart"/>
            <w:tcBorders>
              <w:top w:val="single" w:color="000000" w:sz="4" w:space="0"/>
              <w:left w:val="single" w:color="000000" w:sz="4" w:space="0"/>
              <w:right w:val="single" w:color="000000" w:sz="4" w:space="0"/>
            </w:tcBorders>
            <w:shd w:val="clear" w:color="auto" w:fill="auto"/>
            <w:vAlign w:val="center"/>
          </w:tcPr>
          <w:p w14:paraId="13F1AB68">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实践性教学环节</w:t>
            </w:r>
          </w:p>
        </w:tc>
        <w:tc>
          <w:tcPr>
            <w:tcW w:w="824" w:type="dxa"/>
            <w:vMerge w:val="restart"/>
            <w:tcBorders>
              <w:top w:val="single" w:color="auto" w:sz="4" w:space="0"/>
              <w:left w:val="single" w:color="000000" w:sz="4" w:space="0"/>
              <w:right w:val="single" w:color="000000" w:sz="4" w:space="0"/>
            </w:tcBorders>
            <w:shd w:val="clear" w:color="auto" w:fill="auto"/>
            <w:vAlign w:val="center"/>
          </w:tcPr>
          <w:p w14:paraId="50E48E1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学分</w:t>
            </w:r>
          </w:p>
        </w:tc>
        <w:tc>
          <w:tcPr>
            <w:tcW w:w="1069" w:type="dxa"/>
            <w:vMerge w:val="restart"/>
            <w:tcBorders>
              <w:top w:val="single" w:color="000000" w:sz="4" w:space="0"/>
              <w:left w:val="single" w:color="000000" w:sz="4" w:space="0"/>
              <w:right w:val="single" w:color="000000" w:sz="4" w:space="0"/>
            </w:tcBorders>
            <w:shd w:val="clear" w:color="auto" w:fill="auto"/>
            <w:vAlign w:val="center"/>
          </w:tcPr>
          <w:p w14:paraId="47FDCF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学时</w:t>
            </w:r>
          </w:p>
        </w:tc>
        <w:tc>
          <w:tcPr>
            <w:tcW w:w="16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64DA1">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学时分配</w:t>
            </w:r>
          </w:p>
        </w:tc>
        <w:tc>
          <w:tcPr>
            <w:tcW w:w="3951" w:type="dxa"/>
            <w:vMerge w:val="restart"/>
            <w:tcBorders>
              <w:top w:val="single" w:color="000000" w:sz="4" w:space="0"/>
              <w:left w:val="single" w:color="000000" w:sz="4" w:space="0"/>
              <w:right w:val="single" w:color="000000" w:sz="4" w:space="0"/>
            </w:tcBorders>
            <w:shd w:val="clear" w:color="auto" w:fill="auto"/>
            <w:vAlign w:val="center"/>
          </w:tcPr>
          <w:p w14:paraId="3463620F">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主要实践内容</w:t>
            </w:r>
          </w:p>
        </w:tc>
      </w:tr>
      <w:tr w14:paraId="23D2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exact"/>
        </w:trPr>
        <w:tc>
          <w:tcPr>
            <w:tcW w:w="1991" w:type="dxa"/>
            <w:vMerge w:val="continue"/>
            <w:tcBorders>
              <w:left w:val="single" w:color="000000" w:sz="4" w:space="0"/>
              <w:bottom w:val="single" w:color="000000" w:sz="4" w:space="0"/>
              <w:right w:val="single" w:color="000000" w:sz="4" w:space="0"/>
            </w:tcBorders>
            <w:shd w:val="clear" w:color="auto" w:fill="auto"/>
            <w:vAlign w:val="center"/>
          </w:tcPr>
          <w:p w14:paraId="3352251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824" w:type="dxa"/>
            <w:vMerge w:val="continue"/>
            <w:tcBorders>
              <w:left w:val="single" w:color="000000" w:sz="4" w:space="0"/>
              <w:bottom w:val="single" w:color="000000" w:sz="4" w:space="0"/>
              <w:right w:val="single" w:color="000000" w:sz="4" w:space="0"/>
            </w:tcBorders>
            <w:shd w:val="clear" w:color="auto" w:fill="auto"/>
            <w:vAlign w:val="center"/>
          </w:tcPr>
          <w:p w14:paraId="2F06D4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p>
        </w:tc>
        <w:tc>
          <w:tcPr>
            <w:tcW w:w="1069" w:type="dxa"/>
            <w:vMerge w:val="continue"/>
            <w:tcBorders>
              <w:left w:val="single" w:color="000000" w:sz="4" w:space="0"/>
              <w:bottom w:val="single" w:color="000000" w:sz="4" w:space="0"/>
              <w:right w:val="single" w:color="000000" w:sz="4" w:space="0"/>
            </w:tcBorders>
            <w:shd w:val="clear" w:color="auto" w:fill="auto"/>
            <w:vAlign w:val="center"/>
          </w:tcPr>
          <w:p w14:paraId="00B53D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ADBB">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理论</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81D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实践</w:t>
            </w:r>
          </w:p>
        </w:tc>
        <w:tc>
          <w:tcPr>
            <w:tcW w:w="3951" w:type="dxa"/>
            <w:vMerge w:val="continue"/>
            <w:tcBorders>
              <w:left w:val="single" w:color="000000" w:sz="4" w:space="0"/>
              <w:bottom w:val="single" w:color="000000" w:sz="4" w:space="0"/>
              <w:right w:val="single" w:color="000000" w:sz="4" w:space="0"/>
            </w:tcBorders>
            <w:shd w:val="clear" w:color="auto" w:fill="auto"/>
            <w:vAlign w:val="center"/>
          </w:tcPr>
          <w:p w14:paraId="6EF56B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p>
        </w:tc>
      </w:tr>
      <w:tr w14:paraId="1C362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exact"/>
        </w:trPr>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7F05">
            <w:pPr>
              <w:spacing w:line="240" w:lineRule="auto"/>
              <w:jc w:val="center"/>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课间见习</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3EA2">
            <w:pPr>
              <w:spacing w:line="240" w:lineRule="auto"/>
              <w:jc w:val="center"/>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2560">
            <w:pPr>
              <w:spacing w:line="240" w:lineRule="auto"/>
              <w:jc w:val="center"/>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25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F4D5">
            <w:pPr>
              <w:spacing w:line="240" w:lineRule="auto"/>
              <w:jc w:val="center"/>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C838">
            <w:pPr>
              <w:spacing w:line="240" w:lineRule="auto"/>
              <w:jc w:val="center"/>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25</w:t>
            </w:r>
          </w:p>
        </w:tc>
        <w:tc>
          <w:tcPr>
            <w:tcW w:w="3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58E9">
            <w:pPr>
              <w:spacing w:line="240" w:lineRule="auto"/>
              <w:jc w:val="left"/>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1.了解医院环境，增加职业认同</w:t>
            </w:r>
          </w:p>
          <w:p w14:paraId="48E06438">
            <w:pPr>
              <w:spacing w:line="240" w:lineRule="auto"/>
              <w:jc w:val="left"/>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2.了解医院工作及诊疗流程</w:t>
            </w:r>
          </w:p>
          <w:p w14:paraId="57750419">
            <w:pPr>
              <w:spacing w:line="240" w:lineRule="auto"/>
              <w:jc w:val="left"/>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3.了解临床诊治方法和诊疗技术，学习接诊并处置病人</w:t>
            </w:r>
          </w:p>
        </w:tc>
      </w:tr>
      <w:tr w14:paraId="03AD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6" w:hRule="exact"/>
        </w:trPr>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5F46">
            <w:pPr>
              <w:spacing w:line="240" w:lineRule="auto"/>
              <w:jc w:val="center"/>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毕业实习</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3BF7">
            <w:pPr>
              <w:spacing w:line="240" w:lineRule="auto"/>
              <w:jc w:val="center"/>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40</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7DB0">
            <w:pPr>
              <w:spacing w:line="240" w:lineRule="auto"/>
              <w:jc w:val="center"/>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1000</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B52">
            <w:pPr>
              <w:spacing w:line="240" w:lineRule="auto"/>
              <w:jc w:val="center"/>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088B">
            <w:pPr>
              <w:spacing w:line="240" w:lineRule="auto"/>
              <w:jc w:val="center"/>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1000</w:t>
            </w:r>
          </w:p>
        </w:tc>
        <w:tc>
          <w:tcPr>
            <w:tcW w:w="3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C929">
            <w:pPr>
              <w:spacing w:line="240" w:lineRule="auto"/>
              <w:jc w:val="left"/>
              <w:textAlignment w:val="center"/>
              <w:rPr>
                <w:rFonts w:hint="eastAsia"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校内班：1.基本医疗；2.基本公共卫生服务</w:t>
            </w:r>
          </w:p>
          <w:p w14:paraId="394CB180">
            <w:pPr>
              <w:spacing w:line="240" w:lineRule="auto"/>
              <w:jc w:val="left"/>
              <w:textAlignment w:val="center"/>
              <w:rPr>
                <w:rFonts w:hint="default" w:ascii="宋体" w:hAnsi="宋体" w:eastAsia="宋体" w:cs="宋体"/>
                <w:b w:val="0"/>
                <w:color w:val="auto"/>
                <w:kern w:val="0"/>
                <w:sz w:val="20"/>
                <w:szCs w:val="20"/>
                <w:highlight w:val="none"/>
                <w:lang w:val="en-US" w:eastAsia="zh-CN" w:bidi="ar"/>
              </w:rPr>
            </w:pPr>
            <w:r>
              <w:rPr>
                <w:rFonts w:hint="eastAsia" w:ascii="宋体" w:hAnsi="宋体" w:eastAsia="宋体" w:cs="宋体"/>
                <w:b w:val="0"/>
                <w:color w:val="auto"/>
                <w:kern w:val="0"/>
                <w:sz w:val="20"/>
                <w:szCs w:val="20"/>
                <w:highlight w:val="none"/>
                <w:lang w:val="en-US" w:eastAsia="zh-CN" w:bidi="ar"/>
              </w:rPr>
              <w:t>校外班：1.基本医疗；2.基本公共卫生服务；3.针对各班特色于相应的医院或科室进行针对性的实践学习</w:t>
            </w:r>
          </w:p>
        </w:tc>
      </w:tr>
      <w:tr w14:paraId="2D08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exact"/>
        </w:trPr>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DEEA">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小计</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494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20"/>
                <w:szCs w:val="20"/>
                <w:u w:val="none"/>
                <w:lang w:val="en-US" w:eastAsia="zh-CN" w:bidi="ar"/>
              </w:rPr>
            </w:pPr>
            <w:r>
              <w:rPr>
                <w:rFonts w:hint="eastAsia" w:ascii="仿宋" w:hAnsi="仿宋" w:eastAsia="仿宋" w:cs="仿宋"/>
                <w:b/>
                <w:bCs/>
                <w:i w:val="0"/>
                <w:iCs w:val="0"/>
                <w:snapToGrid w:val="0"/>
                <w:color w:val="000000"/>
                <w:kern w:val="0"/>
                <w:sz w:val="20"/>
                <w:szCs w:val="20"/>
                <w:u w:val="none"/>
                <w:lang w:val="en-US" w:eastAsia="zh-CN" w:bidi="ar"/>
              </w:rPr>
              <w:t>41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1F8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20"/>
                <w:szCs w:val="20"/>
                <w:u w:val="none"/>
                <w:lang w:val="en-US" w:eastAsia="zh-CN" w:bidi="ar"/>
              </w:rPr>
            </w:pPr>
            <w:r>
              <w:rPr>
                <w:rFonts w:hint="eastAsia" w:ascii="仿宋" w:hAnsi="仿宋" w:eastAsia="仿宋" w:cs="仿宋"/>
                <w:b/>
                <w:bCs/>
                <w:i w:val="0"/>
                <w:iCs w:val="0"/>
                <w:snapToGrid w:val="0"/>
                <w:color w:val="000000"/>
                <w:kern w:val="0"/>
                <w:sz w:val="20"/>
                <w:szCs w:val="20"/>
                <w:u w:val="none"/>
                <w:lang w:val="en-US" w:eastAsia="zh-CN" w:bidi="ar"/>
              </w:rPr>
              <w:t>1025</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87C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20"/>
                <w:szCs w:val="20"/>
                <w:u w:val="none"/>
                <w:lang w:val="en-US" w:eastAsia="zh-CN" w:bidi="ar"/>
              </w:rPr>
            </w:pPr>
            <w:r>
              <w:rPr>
                <w:rFonts w:hint="eastAsia" w:ascii="仿宋" w:hAnsi="仿宋" w:eastAsia="仿宋" w:cs="仿宋"/>
                <w:b/>
                <w:bCs/>
                <w:i w:val="0"/>
                <w:iCs w:val="0"/>
                <w:snapToGrid w:val="0"/>
                <w:color w:val="000000"/>
                <w:kern w:val="0"/>
                <w:sz w:val="20"/>
                <w:szCs w:val="20"/>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20E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20"/>
                <w:szCs w:val="20"/>
                <w:u w:val="none"/>
                <w:lang w:val="en-US" w:eastAsia="zh-CN" w:bidi="ar"/>
              </w:rPr>
            </w:pPr>
            <w:r>
              <w:rPr>
                <w:rFonts w:hint="eastAsia" w:ascii="仿宋" w:hAnsi="仿宋" w:eastAsia="仿宋" w:cs="仿宋"/>
                <w:b/>
                <w:bCs/>
                <w:i w:val="0"/>
                <w:iCs w:val="0"/>
                <w:snapToGrid w:val="0"/>
                <w:color w:val="000000"/>
                <w:kern w:val="0"/>
                <w:sz w:val="20"/>
                <w:szCs w:val="20"/>
                <w:u w:val="none"/>
                <w:lang w:val="en-US" w:eastAsia="zh-CN" w:bidi="ar"/>
              </w:rPr>
              <w:t>1025</w:t>
            </w:r>
          </w:p>
        </w:tc>
        <w:tc>
          <w:tcPr>
            <w:tcW w:w="3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26A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20"/>
                <w:szCs w:val="20"/>
                <w:u w:val="none"/>
                <w:lang w:val="en-US" w:eastAsia="zh-CN" w:bidi="ar"/>
              </w:rPr>
            </w:pPr>
          </w:p>
        </w:tc>
      </w:tr>
    </w:tbl>
    <w:p w14:paraId="6B574AC2">
      <w:pPr>
        <w:pStyle w:val="5"/>
        <w:spacing w:line="320" w:lineRule="auto"/>
        <w:ind w:right="465" w:firstLine="556" w:firstLineChars="200"/>
        <w:jc w:val="both"/>
        <w:rPr>
          <w:rFonts w:hint="default"/>
          <w:b w:val="0"/>
          <w:color w:val="auto"/>
          <w:spacing w:val="-1"/>
          <w:kern w:val="0"/>
          <w:sz w:val="28"/>
          <w:szCs w:val="28"/>
          <w:highlight w:val="none"/>
          <w:lang w:val="en-US" w:eastAsia="zh-CN"/>
        </w:rPr>
      </w:pPr>
      <w:bookmarkStart w:id="33" w:name="_Toc24318"/>
      <w:bookmarkStart w:id="34" w:name="_Toc32267"/>
      <w:r>
        <w:rPr>
          <w:rFonts w:hint="default"/>
          <w:b w:val="0"/>
          <w:color w:val="auto"/>
          <w:spacing w:val="-1"/>
          <w:kern w:val="0"/>
          <w:sz w:val="28"/>
          <w:szCs w:val="28"/>
          <w:highlight w:val="none"/>
          <w:lang w:val="en-US" w:eastAsia="zh-CN"/>
        </w:rPr>
        <w:t>安排本专业学生在校外实训基地完成课间见习、教学见习及毕业实习等实践学习任务。</w:t>
      </w:r>
    </w:p>
    <w:p w14:paraId="390B413C">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1.教学见习</w:t>
      </w:r>
      <w:r>
        <w:rPr>
          <w:rFonts w:hint="eastAsia"/>
          <w:b w:val="0"/>
          <w:color w:val="auto"/>
          <w:spacing w:val="-1"/>
          <w:kern w:val="0"/>
          <w:sz w:val="28"/>
          <w:szCs w:val="28"/>
          <w:highlight w:val="none"/>
          <w:lang w:val="en-US" w:eastAsia="zh-CN"/>
        </w:rPr>
        <w:t>（学时分配在专业核心课程的实践学时中）</w:t>
      </w:r>
    </w:p>
    <w:p w14:paraId="180A6338">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第三、四学期在毗邻的二级以上的综合医院安排课间见习。制定《临床见习手册》发放给每位带教老师与学生</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包括见习计划、大纲及要求、病历</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病程录</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评分表、考核鉴定表、日志等内容。学生分组</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从第三周开始进行</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每周二或四下午时间</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每次2～3学时</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分散见习或集中1周见习</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学生在老师的带领下进入临床科室</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见习内容为前一阶段所学的临床理论知识。每名同学在一年临床课学习及课间见习时间内</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积极主动完成内、外、妇、儿等学科至少8个常见疾病病例的临床跟踪观察。学生完成后由带教老师批阅、评分</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每科病历取其平均值。</w:t>
      </w:r>
    </w:p>
    <w:p w14:paraId="4A5EF209">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2.毕业实习</w:t>
      </w:r>
    </w:p>
    <w:p w14:paraId="5CF17116">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第三学年安排校内班学生在教学医院、临床教学实习医院和基层医疗机构进行毕业实习10个月</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40周</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院校双方共同制定毕业实习计划、实习制度与守则</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保障实习目标的达成。毕业实习分2阶段进行</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第一阶段在二甲以上的综合医院集中实习36周</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其中内科15周、外科9周、妇产科4周、儿科4周、神经内科2周、急诊科2周，将所学理论知识用于临床实践</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在临床实践中发现问题</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解决问题</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培养基本医疗能力</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提高临床实践能力。第二阶段在基层医疗机构实习4周，实习内容围绕基层医疗的核心工作，通过接触基层常见病诊疗和公共卫生服务，积累临床经验；深入了解基层医疗的工作模式和居民健康需求，明确自身在分级诊疗体系中的角色定位；在直接服务居民的过程中，提升沟通能力和人文关怀素养，培养基层医疗工作者的责任感。</w:t>
      </w:r>
    </w:p>
    <w:p w14:paraId="0F3A853F">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方向班学生实习分三阶段进行，第一阶段在二甲以上的综合医院集中实习31周</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其中内科15周、外科8周、妇产科4周、儿科4周，将所学理论知识用于临床实践</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在临床实践中发现问题</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解决问题</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培养基本医疗能力</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提高临床实践能力。第二阶段在基层医疗机构实习4周，实习内容围绕基层医疗的核心工作，通过接触基层常见病诊疗和公共卫生服务，积累临床经验；深入了解基层医疗的工作模式和居民健康需求，明确自身在分级诊疗体系中的角色定位；在直接服务居民的过程中，提升沟通能力和人文关怀素养，培养基层医疗工作者的责任感。第三阶段不同方向班同学在相应企业完成5周的实习。医学影像学方向于影像科实习3周，超声科实习2周，提升影像诊断、多模态检查选择、临床</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影像结合思维、超声及影像设备操作技能，并强化急诊影像应对能力，解决临床问题的综合实践素养；校外班医养结合方向：在康复护理院、医养结合机构、社区居家养老服务机构和康养综合体等单位实习5周，提高临床医学生的基础护理操作能力、康复训练辅助技能，增强跨学科协作能力，提升老年患者沟通技巧、应急处理能力，深化对医养结合服务模式及老年群体全人照护需求的认知。校外班健康大数据管理方向于健康体检中心实习5周，可提高学生数据采集与分析能力（如体检报告整理）、健康风险评估技能，增强信息化系统操作能力，深化对健康管理流程及大数据应用于医疗场景的认知。校外班医美方向于医院皮肤科及整形外科各实习5周，掌握皮肤美容诊疗与整形基础操作，培养医学审美、医患沟通及并发症处理能力，建立</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治疗+美学</w:t>
      </w:r>
      <w:r>
        <w:rPr>
          <w:rFonts w:hint="eastAsia"/>
          <w:b w:val="0"/>
          <w:color w:val="auto"/>
          <w:spacing w:val="-1"/>
          <w:kern w:val="0"/>
          <w:sz w:val="28"/>
          <w:szCs w:val="28"/>
          <w:highlight w:val="none"/>
          <w:lang w:val="en-US" w:eastAsia="zh-CN"/>
        </w:rPr>
        <w:t>”</w:t>
      </w:r>
      <w:r>
        <w:rPr>
          <w:rFonts w:hint="default"/>
          <w:b w:val="0"/>
          <w:color w:val="auto"/>
          <w:spacing w:val="-1"/>
          <w:kern w:val="0"/>
          <w:sz w:val="28"/>
          <w:szCs w:val="28"/>
          <w:highlight w:val="none"/>
          <w:lang w:val="en-US" w:eastAsia="zh-CN"/>
        </w:rPr>
        <w:t>的跨学科临床思维，提升医美方向综合实践水平。</w:t>
      </w:r>
    </w:p>
    <w:p w14:paraId="372FF5C3">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实习期间建立“双导师”负责制度，安排校内实习指导老师、辅导员共同解决学生实习中学习上的疑惑和生活中的困难，实习医院安排各科室实习带教老师，建群管理全程不失联、少而精的“天天练”，学习通进行阶段性考核。</w:t>
      </w:r>
    </w:p>
    <w:p w14:paraId="52D13909">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3.下临床实习前技能集训</w:t>
      </w:r>
    </w:p>
    <w:p w14:paraId="2C2F88EE">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为督促临床医学专业学生在临床实习前主动进行技能强化训练，同时评估临床医学专业核心课程的日常教学质量，推进教学整改，提高执业助理医师资格考试过关率，于第4学期对本专业全体学生开展专业核心课程相关的实践技能常态化集训与考核。集训结束后，借助OSCE考站规范模拟执业助理医师资格考试实践技能标准化三站式考试，成绩替代毕业考试科目《执业助理医师实践技能模拟考试》。</w:t>
      </w:r>
    </w:p>
    <w:p w14:paraId="6B2B8FAB">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4.岗前培训</w:t>
      </w:r>
    </w:p>
    <w:p w14:paraId="2F97E059">
      <w:pPr>
        <w:pStyle w:val="5"/>
        <w:spacing w:line="320" w:lineRule="auto"/>
        <w:ind w:right="465" w:firstLine="556" w:firstLineChars="200"/>
        <w:jc w:val="both"/>
        <w:rPr>
          <w:rFonts w:hint="default"/>
          <w:b w:val="0"/>
          <w:color w:val="auto"/>
          <w:spacing w:val="-1"/>
          <w:kern w:val="0"/>
          <w:sz w:val="28"/>
          <w:szCs w:val="28"/>
          <w:highlight w:val="none"/>
          <w:lang w:val="en-US" w:eastAsia="zh-CN"/>
        </w:rPr>
      </w:pPr>
      <w:r>
        <w:rPr>
          <w:rFonts w:hint="default"/>
          <w:b w:val="0"/>
          <w:color w:val="auto"/>
          <w:spacing w:val="-1"/>
          <w:kern w:val="0"/>
          <w:sz w:val="28"/>
          <w:szCs w:val="28"/>
          <w:highlight w:val="none"/>
          <w:lang w:val="en-US" w:eastAsia="zh-CN"/>
        </w:rPr>
        <w:t>岗前培训针对农村订单定向免费医学生。定向生在毕业实习后返校，统一进行为期一个月的岗前培训，培训结束后统一进行考核，合格的学生颁发岗前培训合格证书。</w:t>
      </w:r>
    </w:p>
    <w:p w14:paraId="655C2FC2">
      <w:pPr>
        <w:pStyle w:val="5"/>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left="556" w:leftChars="0" w:right="465" w:rightChars="0"/>
        <w:textAlignment w:val="baseline"/>
      </w:pPr>
      <w:r>
        <w:t>（</w:t>
      </w:r>
      <w:r>
        <w:rPr>
          <w:rFonts w:hint="eastAsia"/>
          <w:lang w:val="en-US" w:eastAsia="zh-CN"/>
        </w:rPr>
        <w:t>五</w:t>
      </w:r>
      <w:r>
        <w:t>）各模块学时、学分</w:t>
      </w:r>
      <w:r>
        <w:rPr>
          <w:rFonts w:hint="eastAsia"/>
          <w:lang w:val="en-US" w:eastAsia="zh-CN"/>
        </w:rPr>
        <w:t>汇总</w:t>
      </w:r>
      <w:r>
        <w:t>表</w:t>
      </w:r>
      <w:bookmarkEnd w:id="33"/>
      <w:bookmarkEnd w:id="34"/>
    </w:p>
    <w:p w14:paraId="0CC09B1D">
      <w:pPr>
        <w:spacing w:line="87" w:lineRule="exact"/>
      </w:pPr>
    </w:p>
    <w:tbl>
      <w:tblPr>
        <w:tblStyle w:val="14"/>
        <w:tblW w:w="9435" w:type="dxa"/>
        <w:tblInd w:w="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1"/>
        <w:gridCol w:w="1309"/>
        <w:gridCol w:w="838"/>
        <w:gridCol w:w="838"/>
        <w:gridCol w:w="838"/>
        <w:gridCol w:w="838"/>
        <w:gridCol w:w="1224"/>
        <w:gridCol w:w="1619"/>
      </w:tblGrid>
      <w:tr w14:paraId="18EF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931" w:type="dxa"/>
            <w:tcBorders>
              <w:bottom w:val="single" w:color="auto" w:sz="4" w:space="0"/>
            </w:tcBorders>
            <w:vAlign w:val="center"/>
          </w:tcPr>
          <w:p w14:paraId="65B7579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课程模块</w:t>
            </w:r>
          </w:p>
        </w:tc>
        <w:tc>
          <w:tcPr>
            <w:tcW w:w="1309" w:type="dxa"/>
            <w:tcBorders>
              <w:bottom w:val="single" w:color="auto" w:sz="4" w:space="0"/>
            </w:tcBorders>
            <w:vAlign w:val="center"/>
          </w:tcPr>
          <w:p w14:paraId="2A990F3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课程性质</w:t>
            </w:r>
          </w:p>
        </w:tc>
        <w:tc>
          <w:tcPr>
            <w:tcW w:w="838" w:type="dxa"/>
            <w:tcBorders>
              <w:bottom w:val="single" w:color="auto" w:sz="4" w:space="0"/>
            </w:tcBorders>
            <w:vAlign w:val="center"/>
          </w:tcPr>
          <w:p w14:paraId="3031FBD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学分</w:t>
            </w:r>
          </w:p>
        </w:tc>
        <w:tc>
          <w:tcPr>
            <w:tcW w:w="838" w:type="dxa"/>
            <w:tcBorders>
              <w:bottom w:val="single" w:color="auto" w:sz="4" w:space="0"/>
            </w:tcBorders>
            <w:vAlign w:val="center"/>
          </w:tcPr>
          <w:p w14:paraId="4FD77E2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学时</w:t>
            </w:r>
          </w:p>
        </w:tc>
        <w:tc>
          <w:tcPr>
            <w:tcW w:w="838" w:type="dxa"/>
            <w:tcBorders>
              <w:bottom w:val="single" w:color="auto" w:sz="4" w:space="0"/>
            </w:tcBorders>
            <w:vAlign w:val="center"/>
          </w:tcPr>
          <w:p w14:paraId="4333BAB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理论</w:t>
            </w:r>
          </w:p>
          <w:p w14:paraId="063AA32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学时</w:t>
            </w:r>
          </w:p>
        </w:tc>
        <w:tc>
          <w:tcPr>
            <w:tcW w:w="838" w:type="dxa"/>
            <w:tcBorders>
              <w:bottom w:val="single" w:color="auto" w:sz="4" w:space="0"/>
            </w:tcBorders>
            <w:vAlign w:val="center"/>
          </w:tcPr>
          <w:p w14:paraId="1C71E81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实践</w:t>
            </w:r>
          </w:p>
          <w:p w14:paraId="2203397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学时</w:t>
            </w:r>
          </w:p>
        </w:tc>
        <w:tc>
          <w:tcPr>
            <w:tcW w:w="1224" w:type="dxa"/>
            <w:tcBorders>
              <w:bottom w:val="single" w:color="auto" w:sz="4" w:space="0"/>
            </w:tcBorders>
            <w:vAlign w:val="center"/>
          </w:tcPr>
          <w:p w14:paraId="545742B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实践教学比例 (%)</w:t>
            </w:r>
          </w:p>
        </w:tc>
        <w:tc>
          <w:tcPr>
            <w:tcW w:w="1619" w:type="dxa"/>
            <w:tcBorders>
              <w:bottom w:val="single" w:color="auto" w:sz="4" w:space="0"/>
            </w:tcBorders>
            <w:vAlign w:val="center"/>
          </w:tcPr>
          <w:p w14:paraId="66709A8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占总学时</w:t>
            </w:r>
          </w:p>
          <w:p w14:paraId="0CFBF47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比例 (%)</w:t>
            </w:r>
          </w:p>
        </w:tc>
      </w:tr>
      <w:tr w14:paraId="51068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31" w:type="dxa"/>
            <w:tcBorders>
              <w:top w:val="single" w:color="auto" w:sz="4" w:space="0"/>
              <w:left w:val="single" w:color="auto" w:sz="4" w:space="0"/>
              <w:bottom w:val="single" w:color="auto" w:sz="4" w:space="0"/>
              <w:right w:val="single" w:color="auto" w:sz="4" w:space="0"/>
            </w:tcBorders>
            <w:vAlign w:val="center"/>
          </w:tcPr>
          <w:p w14:paraId="5F7701EB">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公共基础课程</w:t>
            </w:r>
          </w:p>
        </w:tc>
        <w:tc>
          <w:tcPr>
            <w:tcW w:w="1309" w:type="dxa"/>
            <w:tcBorders>
              <w:top w:val="single" w:color="auto" w:sz="4" w:space="0"/>
              <w:left w:val="single" w:color="auto" w:sz="4" w:space="0"/>
              <w:bottom w:val="single" w:color="auto" w:sz="4" w:space="0"/>
              <w:right w:val="single" w:color="auto" w:sz="4" w:space="0"/>
            </w:tcBorders>
            <w:vAlign w:val="center"/>
          </w:tcPr>
          <w:p w14:paraId="4394A0D8">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必修</w:t>
            </w:r>
          </w:p>
        </w:tc>
        <w:tc>
          <w:tcPr>
            <w:tcW w:w="838" w:type="dxa"/>
            <w:tcBorders>
              <w:top w:val="single" w:color="auto" w:sz="4" w:space="0"/>
              <w:left w:val="single" w:color="auto" w:sz="4" w:space="0"/>
              <w:bottom w:val="single" w:color="auto" w:sz="4" w:space="0"/>
              <w:right w:val="single" w:color="auto" w:sz="4" w:space="0"/>
            </w:tcBorders>
            <w:vAlign w:val="center"/>
          </w:tcPr>
          <w:p w14:paraId="4B85F3D4">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36</w:t>
            </w:r>
          </w:p>
        </w:tc>
        <w:tc>
          <w:tcPr>
            <w:tcW w:w="838" w:type="dxa"/>
            <w:tcBorders>
              <w:top w:val="single" w:color="auto" w:sz="4" w:space="0"/>
              <w:left w:val="single" w:color="auto" w:sz="4" w:space="0"/>
              <w:bottom w:val="single" w:color="auto" w:sz="4" w:space="0"/>
              <w:right w:val="single" w:color="auto" w:sz="4" w:space="0"/>
            </w:tcBorders>
            <w:vAlign w:val="center"/>
          </w:tcPr>
          <w:p w14:paraId="7241558E">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678</w:t>
            </w:r>
          </w:p>
        </w:tc>
        <w:tc>
          <w:tcPr>
            <w:tcW w:w="838" w:type="dxa"/>
            <w:tcBorders>
              <w:top w:val="single" w:color="auto" w:sz="4" w:space="0"/>
              <w:left w:val="single" w:color="auto" w:sz="4" w:space="0"/>
              <w:bottom w:val="single" w:color="auto" w:sz="4" w:space="0"/>
              <w:right w:val="single" w:color="auto" w:sz="4" w:space="0"/>
            </w:tcBorders>
            <w:vAlign w:val="center"/>
          </w:tcPr>
          <w:p w14:paraId="1C116B64">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366</w:t>
            </w:r>
          </w:p>
        </w:tc>
        <w:tc>
          <w:tcPr>
            <w:tcW w:w="838" w:type="dxa"/>
            <w:tcBorders>
              <w:top w:val="single" w:color="auto" w:sz="4" w:space="0"/>
              <w:left w:val="single" w:color="auto" w:sz="4" w:space="0"/>
              <w:bottom w:val="single" w:color="auto" w:sz="4" w:space="0"/>
              <w:right w:val="single" w:color="auto" w:sz="4" w:space="0"/>
            </w:tcBorders>
            <w:vAlign w:val="center"/>
          </w:tcPr>
          <w:p w14:paraId="101A00DF">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312</w:t>
            </w:r>
          </w:p>
        </w:tc>
        <w:tc>
          <w:tcPr>
            <w:tcW w:w="1224" w:type="dxa"/>
            <w:tcBorders>
              <w:top w:val="single" w:color="auto" w:sz="4" w:space="0"/>
              <w:left w:val="single" w:color="auto" w:sz="4" w:space="0"/>
              <w:bottom w:val="single" w:color="auto" w:sz="4" w:space="0"/>
              <w:right w:val="single" w:color="auto" w:sz="4" w:space="0"/>
            </w:tcBorders>
            <w:vAlign w:val="center"/>
          </w:tcPr>
          <w:p w14:paraId="6D4104B7">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46.02%</w:t>
            </w:r>
          </w:p>
        </w:tc>
        <w:tc>
          <w:tcPr>
            <w:tcW w:w="1619" w:type="dxa"/>
            <w:tcBorders>
              <w:top w:val="single" w:color="auto" w:sz="4" w:space="0"/>
              <w:left w:val="single" w:color="auto" w:sz="4" w:space="0"/>
              <w:bottom w:val="single" w:color="auto" w:sz="4" w:space="0"/>
              <w:right w:val="single" w:color="auto" w:sz="4" w:space="0"/>
            </w:tcBorders>
            <w:vAlign w:val="center"/>
          </w:tcPr>
          <w:p w14:paraId="7D5E3281">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22.45%</w:t>
            </w:r>
          </w:p>
        </w:tc>
      </w:tr>
      <w:tr w14:paraId="4B354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931" w:type="dxa"/>
            <w:tcBorders>
              <w:top w:val="single" w:color="auto" w:sz="4" w:space="0"/>
              <w:left w:val="single" w:color="auto" w:sz="4" w:space="0"/>
              <w:bottom w:val="single" w:color="auto" w:sz="4" w:space="0"/>
              <w:right w:val="single" w:color="auto" w:sz="4" w:space="0"/>
            </w:tcBorders>
            <w:vAlign w:val="center"/>
          </w:tcPr>
          <w:p w14:paraId="2A55A92D">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专业基础课程</w:t>
            </w:r>
          </w:p>
        </w:tc>
        <w:tc>
          <w:tcPr>
            <w:tcW w:w="1309" w:type="dxa"/>
            <w:tcBorders>
              <w:top w:val="single" w:color="auto" w:sz="4" w:space="0"/>
              <w:left w:val="single" w:color="auto" w:sz="4" w:space="0"/>
              <w:bottom w:val="single" w:color="auto" w:sz="4" w:space="0"/>
              <w:right w:val="single" w:color="auto" w:sz="4" w:space="0"/>
            </w:tcBorders>
            <w:vAlign w:val="center"/>
          </w:tcPr>
          <w:p w14:paraId="29998185">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必修</w:t>
            </w:r>
          </w:p>
        </w:tc>
        <w:tc>
          <w:tcPr>
            <w:tcW w:w="838" w:type="dxa"/>
            <w:tcBorders>
              <w:top w:val="single" w:color="auto" w:sz="4" w:space="0"/>
              <w:left w:val="single" w:color="auto" w:sz="4" w:space="0"/>
              <w:bottom w:val="single" w:color="auto" w:sz="4" w:space="0"/>
              <w:right w:val="single" w:color="auto" w:sz="4" w:space="0"/>
            </w:tcBorders>
            <w:vAlign w:val="center"/>
          </w:tcPr>
          <w:p w14:paraId="49A01AA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26</w:t>
            </w:r>
          </w:p>
        </w:tc>
        <w:tc>
          <w:tcPr>
            <w:tcW w:w="838" w:type="dxa"/>
            <w:tcBorders>
              <w:top w:val="single" w:color="auto" w:sz="4" w:space="0"/>
              <w:left w:val="single" w:color="auto" w:sz="4" w:space="0"/>
              <w:bottom w:val="single" w:color="auto" w:sz="4" w:space="0"/>
              <w:right w:val="single" w:color="auto" w:sz="4" w:space="0"/>
            </w:tcBorders>
            <w:vAlign w:val="center"/>
          </w:tcPr>
          <w:p w14:paraId="5C205B2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444</w:t>
            </w:r>
          </w:p>
        </w:tc>
        <w:tc>
          <w:tcPr>
            <w:tcW w:w="838" w:type="dxa"/>
            <w:tcBorders>
              <w:top w:val="single" w:color="auto" w:sz="4" w:space="0"/>
              <w:left w:val="single" w:color="auto" w:sz="4" w:space="0"/>
              <w:bottom w:val="single" w:color="auto" w:sz="4" w:space="0"/>
              <w:right w:val="single" w:color="auto" w:sz="4" w:space="0"/>
            </w:tcBorders>
            <w:vAlign w:val="center"/>
          </w:tcPr>
          <w:p w14:paraId="41B680B1">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348</w:t>
            </w:r>
          </w:p>
        </w:tc>
        <w:tc>
          <w:tcPr>
            <w:tcW w:w="838" w:type="dxa"/>
            <w:tcBorders>
              <w:top w:val="single" w:color="auto" w:sz="4" w:space="0"/>
              <w:left w:val="single" w:color="auto" w:sz="4" w:space="0"/>
              <w:bottom w:val="single" w:color="auto" w:sz="4" w:space="0"/>
              <w:right w:val="single" w:color="auto" w:sz="4" w:space="0"/>
            </w:tcBorders>
            <w:vAlign w:val="center"/>
          </w:tcPr>
          <w:p w14:paraId="37EB237C">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96</w:t>
            </w:r>
          </w:p>
        </w:tc>
        <w:tc>
          <w:tcPr>
            <w:tcW w:w="1224" w:type="dxa"/>
            <w:tcBorders>
              <w:top w:val="single" w:color="auto" w:sz="4" w:space="0"/>
              <w:left w:val="single" w:color="auto" w:sz="4" w:space="0"/>
              <w:bottom w:val="single" w:color="auto" w:sz="4" w:space="0"/>
              <w:right w:val="single" w:color="auto" w:sz="4" w:space="0"/>
            </w:tcBorders>
            <w:vAlign w:val="center"/>
          </w:tcPr>
          <w:p w14:paraId="180121B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21.62%</w:t>
            </w:r>
          </w:p>
        </w:tc>
        <w:tc>
          <w:tcPr>
            <w:tcW w:w="1619" w:type="dxa"/>
            <w:tcBorders>
              <w:top w:val="single" w:color="auto" w:sz="4" w:space="0"/>
              <w:left w:val="single" w:color="auto" w:sz="4" w:space="0"/>
              <w:bottom w:val="single" w:color="auto" w:sz="4" w:space="0"/>
              <w:right w:val="single" w:color="auto" w:sz="4" w:space="0"/>
            </w:tcBorders>
            <w:vAlign w:val="center"/>
          </w:tcPr>
          <w:p w14:paraId="71BD8600">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14.70%</w:t>
            </w:r>
          </w:p>
        </w:tc>
      </w:tr>
      <w:tr w14:paraId="4372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931" w:type="dxa"/>
            <w:tcBorders>
              <w:top w:val="single" w:color="auto" w:sz="4" w:space="0"/>
              <w:left w:val="single" w:color="auto" w:sz="4" w:space="0"/>
              <w:bottom w:val="single" w:color="auto" w:sz="4" w:space="0"/>
              <w:right w:val="single" w:color="auto" w:sz="4" w:space="0"/>
            </w:tcBorders>
            <w:vAlign w:val="center"/>
          </w:tcPr>
          <w:p w14:paraId="57F61170">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专业核心课程</w:t>
            </w:r>
          </w:p>
        </w:tc>
        <w:tc>
          <w:tcPr>
            <w:tcW w:w="1309" w:type="dxa"/>
            <w:tcBorders>
              <w:top w:val="single" w:color="auto" w:sz="4" w:space="0"/>
              <w:left w:val="single" w:color="auto" w:sz="4" w:space="0"/>
              <w:bottom w:val="single" w:color="auto" w:sz="4" w:space="0"/>
              <w:right w:val="single" w:color="auto" w:sz="4" w:space="0"/>
            </w:tcBorders>
            <w:vAlign w:val="center"/>
          </w:tcPr>
          <w:p w14:paraId="320827FE">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必修</w:t>
            </w:r>
          </w:p>
        </w:tc>
        <w:tc>
          <w:tcPr>
            <w:tcW w:w="838" w:type="dxa"/>
            <w:tcBorders>
              <w:top w:val="single" w:color="auto" w:sz="4" w:space="0"/>
              <w:left w:val="single" w:color="auto" w:sz="4" w:space="0"/>
              <w:bottom w:val="single" w:color="auto" w:sz="4" w:space="0"/>
              <w:right w:val="single" w:color="auto" w:sz="4" w:space="0"/>
            </w:tcBorders>
            <w:vAlign w:val="center"/>
          </w:tcPr>
          <w:p w14:paraId="6D69D7E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33</w:t>
            </w:r>
          </w:p>
        </w:tc>
        <w:tc>
          <w:tcPr>
            <w:tcW w:w="838" w:type="dxa"/>
            <w:tcBorders>
              <w:top w:val="single" w:color="auto" w:sz="4" w:space="0"/>
              <w:left w:val="single" w:color="auto" w:sz="4" w:space="0"/>
              <w:bottom w:val="single" w:color="auto" w:sz="4" w:space="0"/>
              <w:right w:val="single" w:color="auto" w:sz="4" w:space="0"/>
            </w:tcBorders>
            <w:vAlign w:val="center"/>
          </w:tcPr>
          <w:p w14:paraId="2D007FF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570</w:t>
            </w:r>
          </w:p>
        </w:tc>
        <w:tc>
          <w:tcPr>
            <w:tcW w:w="838" w:type="dxa"/>
            <w:tcBorders>
              <w:top w:val="single" w:color="auto" w:sz="4" w:space="0"/>
              <w:left w:val="single" w:color="auto" w:sz="4" w:space="0"/>
              <w:bottom w:val="single" w:color="auto" w:sz="4" w:space="0"/>
              <w:right w:val="single" w:color="auto" w:sz="4" w:space="0"/>
            </w:tcBorders>
            <w:vAlign w:val="center"/>
          </w:tcPr>
          <w:p w14:paraId="3C2E424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422</w:t>
            </w:r>
          </w:p>
        </w:tc>
        <w:tc>
          <w:tcPr>
            <w:tcW w:w="838" w:type="dxa"/>
            <w:tcBorders>
              <w:top w:val="single" w:color="auto" w:sz="4" w:space="0"/>
              <w:left w:val="single" w:color="auto" w:sz="4" w:space="0"/>
              <w:bottom w:val="single" w:color="auto" w:sz="4" w:space="0"/>
              <w:right w:val="single" w:color="auto" w:sz="4" w:space="0"/>
            </w:tcBorders>
            <w:vAlign w:val="center"/>
          </w:tcPr>
          <w:p w14:paraId="6A3FC605">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148</w:t>
            </w:r>
          </w:p>
        </w:tc>
        <w:tc>
          <w:tcPr>
            <w:tcW w:w="1224" w:type="dxa"/>
            <w:tcBorders>
              <w:top w:val="single" w:color="auto" w:sz="4" w:space="0"/>
              <w:left w:val="single" w:color="auto" w:sz="4" w:space="0"/>
              <w:bottom w:val="single" w:color="auto" w:sz="4" w:space="0"/>
              <w:right w:val="single" w:color="auto" w:sz="4" w:space="0"/>
            </w:tcBorders>
            <w:vAlign w:val="center"/>
          </w:tcPr>
          <w:p w14:paraId="7A5C301B">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25.96%</w:t>
            </w:r>
          </w:p>
        </w:tc>
        <w:tc>
          <w:tcPr>
            <w:tcW w:w="1619" w:type="dxa"/>
            <w:tcBorders>
              <w:top w:val="single" w:color="auto" w:sz="4" w:space="0"/>
              <w:left w:val="single" w:color="auto" w:sz="4" w:space="0"/>
              <w:bottom w:val="single" w:color="auto" w:sz="4" w:space="0"/>
              <w:right w:val="single" w:color="auto" w:sz="4" w:space="0"/>
            </w:tcBorders>
            <w:vAlign w:val="center"/>
          </w:tcPr>
          <w:p w14:paraId="3C724967">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18.87%</w:t>
            </w:r>
          </w:p>
        </w:tc>
      </w:tr>
      <w:tr w14:paraId="5F74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931" w:type="dxa"/>
            <w:tcBorders>
              <w:top w:val="single" w:color="auto" w:sz="4" w:space="0"/>
              <w:left w:val="single" w:color="auto" w:sz="4" w:space="0"/>
              <w:bottom w:val="single" w:color="auto" w:sz="4" w:space="0"/>
              <w:right w:val="single" w:color="auto" w:sz="4" w:space="0"/>
            </w:tcBorders>
            <w:shd w:val="clear" w:color="auto" w:fill="auto"/>
            <w:vAlign w:val="center"/>
          </w:tcPr>
          <w:p w14:paraId="4F1DFA9D">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毕业实习</w:t>
            </w:r>
          </w:p>
        </w:tc>
        <w:tc>
          <w:tcPr>
            <w:tcW w:w="1309" w:type="dxa"/>
            <w:tcBorders>
              <w:top w:val="single" w:color="auto" w:sz="4" w:space="0"/>
              <w:left w:val="single" w:color="auto" w:sz="4" w:space="0"/>
              <w:bottom w:val="single" w:color="auto" w:sz="4" w:space="0"/>
              <w:right w:val="single" w:color="auto" w:sz="4" w:space="0"/>
            </w:tcBorders>
            <w:shd w:val="clear" w:color="auto" w:fill="auto"/>
            <w:vAlign w:val="center"/>
          </w:tcPr>
          <w:p w14:paraId="69098FFB">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必修</w:t>
            </w:r>
          </w:p>
        </w:tc>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6F501E57">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40</w:t>
            </w:r>
          </w:p>
        </w:tc>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74A7532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1000</w:t>
            </w:r>
          </w:p>
        </w:tc>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423F4C6B">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0</w:t>
            </w:r>
          </w:p>
        </w:tc>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14:paraId="6380BEBD">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1000</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39832FA7">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100.00%</w:t>
            </w:r>
          </w:p>
        </w:tc>
        <w:tc>
          <w:tcPr>
            <w:tcW w:w="1619" w:type="dxa"/>
            <w:tcBorders>
              <w:top w:val="single" w:color="auto" w:sz="4" w:space="0"/>
              <w:left w:val="single" w:color="auto" w:sz="4" w:space="0"/>
              <w:bottom w:val="single" w:color="auto" w:sz="4" w:space="0"/>
              <w:right w:val="single" w:color="auto" w:sz="4" w:space="0"/>
            </w:tcBorders>
            <w:shd w:val="clear" w:color="auto" w:fill="auto"/>
            <w:vAlign w:val="center"/>
          </w:tcPr>
          <w:p w14:paraId="15CE802E">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33.11%</w:t>
            </w:r>
          </w:p>
        </w:tc>
      </w:tr>
      <w:tr w14:paraId="18C28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3240" w:type="dxa"/>
            <w:gridSpan w:val="2"/>
            <w:tcBorders>
              <w:top w:val="single" w:color="auto" w:sz="4" w:space="0"/>
              <w:left w:val="single" w:color="auto" w:sz="4" w:space="0"/>
              <w:bottom w:val="single" w:color="auto" w:sz="4" w:space="0"/>
              <w:right w:val="single" w:color="auto" w:sz="4" w:space="0"/>
            </w:tcBorders>
            <w:vAlign w:val="center"/>
          </w:tcPr>
          <w:p w14:paraId="34E3B461">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必修课小计</w:t>
            </w:r>
          </w:p>
        </w:tc>
        <w:tc>
          <w:tcPr>
            <w:tcW w:w="838" w:type="dxa"/>
            <w:tcBorders>
              <w:top w:val="single" w:color="auto" w:sz="4" w:space="0"/>
              <w:left w:val="single" w:color="auto" w:sz="4" w:space="0"/>
              <w:bottom w:val="single" w:color="auto" w:sz="4" w:space="0"/>
              <w:right w:val="single" w:color="auto" w:sz="4" w:space="0"/>
            </w:tcBorders>
            <w:vAlign w:val="center"/>
          </w:tcPr>
          <w:p w14:paraId="32A29038">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135</w:t>
            </w:r>
          </w:p>
        </w:tc>
        <w:tc>
          <w:tcPr>
            <w:tcW w:w="838" w:type="dxa"/>
            <w:tcBorders>
              <w:top w:val="single" w:color="auto" w:sz="4" w:space="0"/>
              <w:left w:val="single" w:color="auto" w:sz="4" w:space="0"/>
              <w:bottom w:val="single" w:color="auto" w:sz="4" w:space="0"/>
              <w:right w:val="single" w:color="auto" w:sz="4" w:space="0"/>
            </w:tcBorders>
            <w:vAlign w:val="center"/>
          </w:tcPr>
          <w:p w14:paraId="156A8F8F">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2692</w:t>
            </w:r>
          </w:p>
        </w:tc>
        <w:tc>
          <w:tcPr>
            <w:tcW w:w="838" w:type="dxa"/>
            <w:tcBorders>
              <w:top w:val="single" w:color="auto" w:sz="4" w:space="0"/>
              <w:left w:val="single" w:color="auto" w:sz="4" w:space="0"/>
              <w:bottom w:val="single" w:color="auto" w:sz="4" w:space="0"/>
              <w:right w:val="single" w:color="auto" w:sz="4" w:space="0"/>
            </w:tcBorders>
            <w:vAlign w:val="center"/>
          </w:tcPr>
          <w:p w14:paraId="5D47809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1136</w:t>
            </w:r>
          </w:p>
        </w:tc>
        <w:tc>
          <w:tcPr>
            <w:tcW w:w="838" w:type="dxa"/>
            <w:tcBorders>
              <w:top w:val="single" w:color="auto" w:sz="4" w:space="0"/>
              <w:left w:val="single" w:color="auto" w:sz="4" w:space="0"/>
              <w:bottom w:val="single" w:color="auto" w:sz="4" w:space="0"/>
              <w:right w:val="single" w:color="auto" w:sz="4" w:space="0"/>
            </w:tcBorders>
            <w:vAlign w:val="center"/>
          </w:tcPr>
          <w:p w14:paraId="2AFCDB0C">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1556</w:t>
            </w:r>
          </w:p>
        </w:tc>
        <w:tc>
          <w:tcPr>
            <w:tcW w:w="1224" w:type="dxa"/>
            <w:tcBorders>
              <w:top w:val="single" w:color="auto" w:sz="4" w:space="0"/>
              <w:left w:val="single" w:color="auto" w:sz="4" w:space="0"/>
              <w:bottom w:val="single" w:color="auto" w:sz="4" w:space="0"/>
              <w:right w:val="single" w:color="auto" w:sz="4" w:space="0"/>
            </w:tcBorders>
            <w:vAlign w:val="center"/>
          </w:tcPr>
          <w:p w14:paraId="6C4342DB">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57.80%</w:t>
            </w:r>
          </w:p>
        </w:tc>
        <w:tc>
          <w:tcPr>
            <w:tcW w:w="1619" w:type="dxa"/>
            <w:tcBorders>
              <w:top w:val="single" w:color="auto" w:sz="4" w:space="0"/>
              <w:left w:val="single" w:color="auto" w:sz="4" w:space="0"/>
              <w:bottom w:val="single" w:color="auto" w:sz="4" w:space="0"/>
              <w:right w:val="single" w:color="auto" w:sz="4" w:space="0"/>
            </w:tcBorders>
            <w:vAlign w:val="center"/>
          </w:tcPr>
          <w:p w14:paraId="2DD498A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89.14%</w:t>
            </w:r>
          </w:p>
        </w:tc>
      </w:tr>
      <w:tr w14:paraId="333FE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931" w:type="dxa"/>
            <w:tcBorders>
              <w:top w:val="single" w:color="auto" w:sz="4" w:space="0"/>
              <w:left w:val="single" w:color="auto" w:sz="4" w:space="0"/>
              <w:bottom w:val="single" w:color="auto" w:sz="4" w:space="0"/>
              <w:right w:val="single" w:color="auto" w:sz="4" w:space="0"/>
            </w:tcBorders>
            <w:vAlign w:val="center"/>
          </w:tcPr>
          <w:p w14:paraId="0AC038E0">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公共基础课程</w:t>
            </w:r>
          </w:p>
        </w:tc>
        <w:tc>
          <w:tcPr>
            <w:tcW w:w="1309" w:type="dxa"/>
            <w:tcBorders>
              <w:top w:val="single" w:color="auto" w:sz="4" w:space="0"/>
              <w:left w:val="single" w:color="auto" w:sz="4" w:space="0"/>
              <w:bottom w:val="single" w:color="auto" w:sz="4" w:space="0"/>
              <w:right w:val="single" w:color="auto" w:sz="4" w:space="0"/>
            </w:tcBorders>
            <w:vAlign w:val="center"/>
          </w:tcPr>
          <w:p w14:paraId="530AF700">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限定选修</w:t>
            </w:r>
          </w:p>
        </w:tc>
        <w:tc>
          <w:tcPr>
            <w:tcW w:w="838" w:type="dxa"/>
            <w:tcBorders>
              <w:top w:val="single" w:color="auto" w:sz="4" w:space="0"/>
              <w:left w:val="single" w:color="auto" w:sz="4" w:space="0"/>
              <w:bottom w:val="single" w:color="auto" w:sz="4" w:space="0"/>
              <w:right w:val="single" w:color="auto" w:sz="4" w:space="0"/>
            </w:tcBorders>
            <w:vAlign w:val="center"/>
          </w:tcPr>
          <w:p w14:paraId="16234E0F">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w:t>
            </w:r>
          </w:p>
        </w:tc>
        <w:tc>
          <w:tcPr>
            <w:tcW w:w="838" w:type="dxa"/>
            <w:tcBorders>
              <w:top w:val="single" w:color="auto" w:sz="4" w:space="0"/>
              <w:left w:val="single" w:color="auto" w:sz="4" w:space="0"/>
              <w:bottom w:val="single" w:color="auto" w:sz="4" w:space="0"/>
              <w:right w:val="single" w:color="auto" w:sz="4" w:space="0"/>
            </w:tcBorders>
            <w:vAlign w:val="center"/>
          </w:tcPr>
          <w:p w14:paraId="7E62D5C0">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42</w:t>
            </w:r>
          </w:p>
        </w:tc>
        <w:tc>
          <w:tcPr>
            <w:tcW w:w="838" w:type="dxa"/>
            <w:tcBorders>
              <w:top w:val="single" w:color="auto" w:sz="4" w:space="0"/>
              <w:left w:val="single" w:color="auto" w:sz="4" w:space="0"/>
              <w:bottom w:val="single" w:color="auto" w:sz="4" w:space="0"/>
              <w:right w:val="single" w:color="auto" w:sz="4" w:space="0"/>
            </w:tcBorders>
            <w:vAlign w:val="center"/>
          </w:tcPr>
          <w:p w14:paraId="426DD33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34</w:t>
            </w:r>
          </w:p>
        </w:tc>
        <w:tc>
          <w:tcPr>
            <w:tcW w:w="838" w:type="dxa"/>
            <w:tcBorders>
              <w:top w:val="single" w:color="auto" w:sz="4" w:space="0"/>
              <w:left w:val="single" w:color="auto" w:sz="4" w:space="0"/>
              <w:bottom w:val="single" w:color="auto" w:sz="4" w:space="0"/>
              <w:right w:val="single" w:color="auto" w:sz="4" w:space="0"/>
            </w:tcBorders>
            <w:vAlign w:val="center"/>
          </w:tcPr>
          <w:p w14:paraId="0D3BA610">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8</w:t>
            </w:r>
          </w:p>
        </w:tc>
        <w:tc>
          <w:tcPr>
            <w:tcW w:w="1224" w:type="dxa"/>
            <w:tcBorders>
              <w:top w:val="single" w:color="auto" w:sz="4" w:space="0"/>
              <w:left w:val="single" w:color="auto" w:sz="4" w:space="0"/>
              <w:bottom w:val="single" w:color="auto" w:sz="4" w:space="0"/>
              <w:right w:val="single" w:color="auto" w:sz="4" w:space="0"/>
            </w:tcBorders>
            <w:vAlign w:val="center"/>
          </w:tcPr>
          <w:p w14:paraId="260CFF61">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19.05%</w:t>
            </w:r>
          </w:p>
        </w:tc>
        <w:tc>
          <w:tcPr>
            <w:tcW w:w="1619" w:type="dxa"/>
            <w:tcBorders>
              <w:top w:val="single" w:color="auto" w:sz="4" w:space="0"/>
              <w:left w:val="single" w:color="auto" w:sz="4" w:space="0"/>
              <w:bottom w:val="single" w:color="auto" w:sz="4" w:space="0"/>
              <w:right w:val="single" w:color="auto" w:sz="4" w:space="0"/>
            </w:tcBorders>
            <w:vAlign w:val="center"/>
          </w:tcPr>
          <w:p w14:paraId="26E777D6">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1.39%</w:t>
            </w:r>
          </w:p>
        </w:tc>
      </w:tr>
      <w:tr w14:paraId="0E662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931" w:type="dxa"/>
            <w:tcBorders>
              <w:top w:val="single" w:color="auto" w:sz="4" w:space="0"/>
              <w:left w:val="single" w:color="auto" w:sz="4" w:space="0"/>
              <w:bottom w:val="single" w:color="auto" w:sz="4" w:space="0"/>
              <w:right w:val="single" w:color="auto" w:sz="4" w:space="0"/>
            </w:tcBorders>
            <w:vAlign w:val="center"/>
          </w:tcPr>
          <w:p w14:paraId="1A41B713">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专业拓展课程</w:t>
            </w:r>
          </w:p>
        </w:tc>
        <w:tc>
          <w:tcPr>
            <w:tcW w:w="1309" w:type="dxa"/>
            <w:tcBorders>
              <w:top w:val="single" w:color="auto" w:sz="4" w:space="0"/>
              <w:left w:val="single" w:color="auto" w:sz="4" w:space="0"/>
              <w:bottom w:val="single" w:color="auto" w:sz="4" w:space="0"/>
              <w:right w:val="single" w:color="auto" w:sz="4" w:space="0"/>
            </w:tcBorders>
            <w:vAlign w:val="center"/>
          </w:tcPr>
          <w:p w14:paraId="03C78605">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限定选修  任意选修</w:t>
            </w:r>
          </w:p>
        </w:tc>
        <w:tc>
          <w:tcPr>
            <w:tcW w:w="838" w:type="dxa"/>
            <w:tcBorders>
              <w:top w:val="single" w:color="auto" w:sz="4" w:space="0"/>
              <w:left w:val="single" w:color="auto" w:sz="4" w:space="0"/>
              <w:bottom w:val="single" w:color="auto" w:sz="4" w:space="0"/>
              <w:right w:val="single" w:color="auto" w:sz="4" w:space="0"/>
            </w:tcBorders>
            <w:vAlign w:val="center"/>
          </w:tcPr>
          <w:p w14:paraId="05B25B99">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11</w:t>
            </w:r>
          </w:p>
        </w:tc>
        <w:tc>
          <w:tcPr>
            <w:tcW w:w="838" w:type="dxa"/>
            <w:tcBorders>
              <w:top w:val="single" w:color="auto" w:sz="4" w:space="0"/>
              <w:left w:val="single" w:color="auto" w:sz="4" w:space="0"/>
              <w:bottom w:val="single" w:color="auto" w:sz="4" w:space="0"/>
              <w:right w:val="single" w:color="auto" w:sz="4" w:space="0"/>
            </w:tcBorders>
            <w:vAlign w:val="center"/>
          </w:tcPr>
          <w:p w14:paraId="5993D6D3">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166</w:t>
            </w:r>
          </w:p>
        </w:tc>
        <w:tc>
          <w:tcPr>
            <w:tcW w:w="838" w:type="dxa"/>
            <w:tcBorders>
              <w:top w:val="single" w:color="auto" w:sz="4" w:space="0"/>
              <w:left w:val="single" w:color="auto" w:sz="4" w:space="0"/>
              <w:bottom w:val="single" w:color="auto" w:sz="4" w:space="0"/>
              <w:right w:val="single" w:color="auto" w:sz="4" w:space="0"/>
            </w:tcBorders>
            <w:vAlign w:val="center"/>
          </w:tcPr>
          <w:p w14:paraId="0F602E03">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86</w:t>
            </w:r>
          </w:p>
        </w:tc>
        <w:tc>
          <w:tcPr>
            <w:tcW w:w="838" w:type="dxa"/>
            <w:tcBorders>
              <w:top w:val="single" w:color="auto" w:sz="4" w:space="0"/>
              <w:left w:val="single" w:color="auto" w:sz="4" w:space="0"/>
              <w:bottom w:val="single" w:color="auto" w:sz="4" w:space="0"/>
              <w:right w:val="single" w:color="auto" w:sz="4" w:space="0"/>
            </w:tcBorders>
            <w:vAlign w:val="center"/>
          </w:tcPr>
          <w:p w14:paraId="149AF548">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80</w:t>
            </w:r>
          </w:p>
        </w:tc>
        <w:tc>
          <w:tcPr>
            <w:tcW w:w="1224" w:type="dxa"/>
            <w:tcBorders>
              <w:top w:val="single" w:color="auto" w:sz="4" w:space="0"/>
              <w:left w:val="single" w:color="auto" w:sz="4" w:space="0"/>
              <w:bottom w:val="single" w:color="auto" w:sz="4" w:space="0"/>
              <w:right w:val="single" w:color="auto" w:sz="4" w:space="0"/>
            </w:tcBorders>
            <w:vAlign w:val="center"/>
          </w:tcPr>
          <w:p w14:paraId="3DDC4FF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48.19%</w:t>
            </w:r>
          </w:p>
        </w:tc>
        <w:tc>
          <w:tcPr>
            <w:tcW w:w="1619" w:type="dxa"/>
            <w:tcBorders>
              <w:top w:val="single" w:color="auto" w:sz="4" w:space="0"/>
              <w:left w:val="single" w:color="auto" w:sz="4" w:space="0"/>
              <w:bottom w:val="single" w:color="auto" w:sz="4" w:space="0"/>
              <w:right w:val="single" w:color="auto" w:sz="4" w:space="0"/>
            </w:tcBorders>
            <w:vAlign w:val="center"/>
          </w:tcPr>
          <w:p w14:paraId="3ECCC365">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5.50%</w:t>
            </w:r>
          </w:p>
        </w:tc>
      </w:tr>
      <w:tr w14:paraId="0E779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240" w:type="dxa"/>
            <w:gridSpan w:val="2"/>
            <w:tcBorders>
              <w:top w:val="single" w:color="auto" w:sz="4" w:space="0"/>
              <w:left w:val="single" w:color="auto" w:sz="4" w:space="0"/>
              <w:bottom w:val="single" w:color="auto" w:sz="4" w:space="0"/>
              <w:right w:val="single" w:color="auto" w:sz="4" w:space="0"/>
            </w:tcBorders>
            <w:vAlign w:val="center"/>
          </w:tcPr>
          <w:p w14:paraId="596335F4">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公共通识选修课</w:t>
            </w:r>
          </w:p>
        </w:tc>
        <w:tc>
          <w:tcPr>
            <w:tcW w:w="838" w:type="dxa"/>
            <w:tcBorders>
              <w:top w:val="single" w:color="auto" w:sz="4" w:space="0"/>
              <w:left w:val="single" w:color="auto" w:sz="4" w:space="0"/>
              <w:bottom w:val="single" w:color="auto" w:sz="4" w:space="0"/>
              <w:right w:val="single" w:color="auto" w:sz="4" w:space="0"/>
            </w:tcBorders>
            <w:vAlign w:val="center"/>
          </w:tcPr>
          <w:p w14:paraId="765BE79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7</w:t>
            </w:r>
          </w:p>
        </w:tc>
        <w:tc>
          <w:tcPr>
            <w:tcW w:w="838" w:type="dxa"/>
            <w:tcBorders>
              <w:top w:val="single" w:color="auto" w:sz="4" w:space="0"/>
              <w:left w:val="single" w:color="auto" w:sz="4" w:space="0"/>
              <w:bottom w:val="single" w:color="auto" w:sz="4" w:space="0"/>
              <w:right w:val="single" w:color="auto" w:sz="4" w:space="0"/>
            </w:tcBorders>
            <w:vAlign w:val="center"/>
          </w:tcPr>
          <w:p w14:paraId="4DBE99C6">
            <w:pPr>
              <w:keepNext w:val="0"/>
              <w:keepLines w:val="0"/>
              <w:widowControl/>
              <w:suppressLineNumbers w:val="0"/>
              <w:jc w:val="center"/>
              <w:textAlignment w:val="center"/>
              <w:rPr>
                <w:rFonts w:hint="default"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120</w:t>
            </w:r>
          </w:p>
        </w:tc>
        <w:tc>
          <w:tcPr>
            <w:tcW w:w="838" w:type="dxa"/>
            <w:tcBorders>
              <w:top w:val="single" w:color="auto" w:sz="4" w:space="0"/>
              <w:left w:val="single" w:color="auto" w:sz="4" w:space="0"/>
              <w:bottom w:val="single" w:color="auto" w:sz="4" w:space="0"/>
              <w:right w:val="single" w:color="auto" w:sz="4" w:space="0"/>
            </w:tcBorders>
            <w:vAlign w:val="center"/>
          </w:tcPr>
          <w:p w14:paraId="7959943A">
            <w:pPr>
              <w:keepNext w:val="0"/>
              <w:keepLines w:val="0"/>
              <w:widowControl/>
              <w:suppressLineNumbers w:val="0"/>
              <w:jc w:val="center"/>
              <w:textAlignment w:val="center"/>
              <w:rPr>
                <w:rFonts w:hint="default"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120</w:t>
            </w:r>
          </w:p>
        </w:tc>
        <w:tc>
          <w:tcPr>
            <w:tcW w:w="838" w:type="dxa"/>
            <w:tcBorders>
              <w:top w:val="single" w:color="auto" w:sz="4" w:space="0"/>
              <w:left w:val="single" w:color="auto" w:sz="4" w:space="0"/>
              <w:bottom w:val="single" w:color="auto" w:sz="4" w:space="0"/>
              <w:right w:val="single" w:color="auto" w:sz="4" w:space="0"/>
            </w:tcBorders>
            <w:vAlign w:val="center"/>
          </w:tcPr>
          <w:p w14:paraId="044058DB">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0</w:t>
            </w:r>
          </w:p>
        </w:tc>
        <w:tc>
          <w:tcPr>
            <w:tcW w:w="1224" w:type="dxa"/>
            <w:tcBorders>
              <w:top w:val="single" w:color="auto" w:sz="4" w:space="0"/>
              <w:left w:val="single" w:color="auto" w:sz="4" w:space="0"/>
              <w:bottom w:val="single" w:color="auto" w:sz="4" w:space="0"/>
              <w:right w:val="single" w:color="auto" w:sz="4" w:space="0"/>
            </w:tcBorders>
            <w:vAlign w:val="center"/>
          </w:tcPr>
          <w:p w14:paraId="0FAC46F1">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0.00%</w:t>
            </w:r>
          </w:p>
        </w:tc>
        <w:tc>
          <w:tcPr>
            <w:tcW w:w="1619" w:type="dxa"/>
            <w:tcBorders>
              <w:top w:val="single" w:color="auto" w:sz="4" w:space="0"/>
              <w:left w:val="single" w:color="auto" w:sz="4" w:space="0"/>
              <w:bottom w:val="single" w:color="auto" w:sz="4" w:space="0"/>
              <w:right w:val="single" w:color="auto" w:sz="4" w:space="0"/>
            </w:tcBorders>
            <w:vAlign w:val="center"/>
          </w:tcPr>
          <w:p w14:paraId="00F92920">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3.97%</w:t>
            </w:r>
          </w:p>
        </w:tc>
      </w:tr>
      <w:tr w14:paraId="2A109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240" w:type="dxa"/>
            <w:gridSpan w:val="2"/>
            <w:tcBorders>
              <w:top w:val="single" w:color="auto" w:sz="4" w:space="0"/>
              <w:left w:val="single" w:color="auto" w:sz="4" w:space="0"/>
              <w:bottom w:val="single" w:color="auto" w:sz="4" w:space="0"/>
              <w:right w:val="single" w:color="auto" w:sz="4" w:space="0"/>
            </w:tcBorders>
            <w:vAlign w:val="center"/>
          </w:tcPr>
          <w:p w14:paraId="79459202">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选修课小计</w:t>
            </w:r>
          </w:p>
        </w:tc>
        <w:tc>
          <w:tcPr>
            <w:tcW w:w="838" w:type="dxa"/>
            <w:tcBorders>
              <w:top w:val="single" w:color="auto" w:sz="4" w:space="0"/>
              <w:left w:val="single" w:color="auto" w:sz="4" w:space="0"/>
              <w:bottom w:val="single" w:color="auto" w:sz="4" w:space="0"/>
              <w:right w:val="single" w:color="auto" w:sz="4" w:space="0"/>
            </w:tcBorders>
            <w:vAlign w:val="center"/>
          </w:tcPr>
          <w:p w14:paraId="41019EA8">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21</w:t>
            </w:r>
          </w:p>
        </w:tc>
        <w:tc>
          <w:tcPr>
            <w:tcW w:w="838" w:type="dxa"/>
            <w:tcBorders>
              <w:top w:val="single" w:color="auto" w:sz="4" w:space="0"/>
              <w:left w:val="single" w:color="auto" w:sz="4" w:space="0"/>
              <w:bottom w:val="single" w:color="auto" w:sz="4" w:space="0"/>
              <w:right w:val="single" w:color="auto" w:sz="4" w:space="0"/>
            </w:tcBorders>
            <w:vAlign w:val="center"/>
          </w:tcPr>
          <w:p w14:paraId="297A7978">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328</w:t>
            </w:r>
          </w:p>
        </w:tc>
        <w:tc>
          <w:tcPr>
            <w:tcW w:w="838" w:type="dxa"/>
            <w:tcBorders>
              <w:top w:val="single" w:color="auto" w:sz="4" w:space="0"/>
              <w:left w:val="single" w:color="auto" w:sz="4" w:space="0"/>
              <w:bottom w:val="single" w:color="auto" w:sz="4" w:space="0"/>
              <w:right w:val="single" w:color="auto" w:sz="4" w:space="0"/>
            </w:tcBorders>
            <w:vAlign w:val="center"/>
          </w:tcPr>
          <w:p w14:paraId="6A76D07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240</w:t>
            </w:r>
          </w:p>
        </w:tc>
        <w:tc>
          <w:tcPr>
            <w:tcW w:w="838" w:type="dxa"/>
            <w:tcBorders>
              <w:top w:val="single" w:color="auto" w:sz="4" w:space="0"/>
              <w:left w:val="single" w:color="auto" w:sz="4" w:space="0"/>
              <w:bottom w:val="single" w:color="auto" w:sz="4" w:space="0"/>
              <w:right w:val="single" w:color="auto" w:sz="4" w:space="0"/>
            </w:tcBorders>
            <w:vAlign w:val="center"/>
          </w:tcPr>
          <w:p w14:paraId="2D548680">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88</w:t>
            </w:r>
          </w:p>
        </w:tc>
        <w:tc>
          <w:tcPr>
            <w:tcW w:w="1224" w:type="dxa"/>
            <w:tcBorders>
              <w:top w:val="single" w:color="auto" w:sz="4" w:space="0"/>
              <w:left w:val="single" w:color="auto" w:sz="4" w:space="0"/>
              <w:bottom w:val="single" w:color="auto" w:sz="4" w:space="0"/>
              <w:right w:val="single" w:color="auto" w:sz="4" w:space="0"/>
            </w:tcBorders>
            <w:vAlign w:val="center"/>
          </w:tcPr>
          <w:p w14:paraId="169BBF29">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26.83%</w:t>
            </w:r>
          </w:p>
        </w:tc>
        <w:tc>
          <w:tcPr>
            <w:tcW w:w="1619" w:type="dxa"/>
            <w:tcBorders>
              <w:top w:val="single" w:color="auto" w:sz="4" w:space="0"/>
              <w:left w:val="single" w:color="auto" w:sz="4" w:space="0"/>
              <w:bottom w:val="single" w:color="auto" w:sz="4" w:space="0"/>
              <w:right w:val="single" w:color="auto" w:sz="4" w:space="0"/>
            </w:tcBorders>
            <w:vAlign w:val="center"/>
          </w:tcPr>
          <w:p w14:paraId="4049D2AE">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10.86%</w:t>
            </w:r>
          </w:p>
        </w:tc>
      </w:tr>
      <w:tr w14:paraId="16695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240" w:type="dxa"/>
            <w:gridSpan w:val="2"/>
            <w:tcBorders>
              <w:top w:val="single" w:color="auto" w:sz="4" w:space="0"/>
              <w:left w:val="single" w:color="auto" w:sz="4" w:space="0"/>
              <w:bottom w:val="single" w:color="auto" w:sz="4" w:space="0"/>
              <w:right w:val="single" w:color="auto" w:sz="4" w:space="0"/>
            </w:tcBorders>
            <w:vAlign w:val="center"/>
          </w:tcPr>
          <w:p w14:paraId="2386B5AE">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公共基础课小计</w:t>
            </w:r>
          </w:p>
        </w:tc>
        <w:tc>
          <w:tcPr>
            <w:tcW w:w="838" w:type="dxa"/>
            <w:tcBorders>
              <w:top w:val="single" w:color="auto" w:sz="4" w:space="0"/>
              <w:left w:val="single" w:color="auto" w:sz="4" w:space="0"/>
              <w:bottom w:val="single" w:color="auto" w:sz="4" w:space="0"/>
              <w:right w:val="single" w:color="auto" w:sz="4" w:space="0"/>
            </w:tcBorders>
            <w:vAlign w:val="center"/>
          </w:tcPr>
          <w:p w14:paraId="76F4E68B">
            <w:pPr>
              <w:keepNext w:val="0"/>
              <w:keepLines w:val="0"/>
              <w:widowControl/>
              <w:suppressLineNumbers w:val="0"/>
              <w:jc w:val="center"/>
              <w:textAlignment w:val="center"/>
              <w:rPr>
                <w:rFonts w:hint="default"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46</w:t>
            </w:r>
          </w:p>
        </w:tc>
        <w:tc>
          <w:tcPr>
            <w:tcW w:w="838" w:type="dxa"/>
            <w:tcBorders>
              <w:top w:val="single" w:color="auto" w:sz="4" w:space="0"/>
              <w:left w:val="single" w:color="auto" w:sz="4" w:space="0"/>
              <w:bottom w:val="single" w:color="auto" w:sz="4" w:space="0"/>
              <w:right w:val="single" w:color="auto" w:sz="4" w:space="0"/>
            </w:tcBorders>
            <w:vAlign w:val="center"/>
          </w:tcPr>
          <w:p w14:paraId="2D0CBBF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840</w:t>
            </w:r>
          </w:p>
        </w:tc>
        <w:tc>
          <w:tcPr>
            <w:tcW w:w="838" w:type="dxa"/>
            <w:tcBorders>
              <w:top w:val="single" w:color="auto" w:sz="4" w:space="0"/>
              <w:left w:val="single" w:color="auto" w:sz="4" w:space="0"/>
              <w:bottom w:val="single" w:color="auto" w:sz="4" w:space="0"/>
              <w:right w:val="single" w:color="auto" w:sz="4" w:space="0"/>
            </w:tcBorders>
            <w:vAlign w:val="center"/>
          </w:tcPr>
          <w:p w14:paraId="7886CA7A">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520</w:t>
            </w:r>
          </w:p>
        </w:tc>
        <w:tc>
          <w:tcPr>
            <w:tcW w:w="838" w:type="dxa"/>
            <w:tcBorders>
              <w:top w:val="single" w:color="auto" w:sz="4" w:space="0"/>
              <w:left w:val="single" w:color="auto" w:sz="4" w:space="0"/>
              <w:bottom w:val="single" w:color="auto" w:sz="4" w:space="0"/>
              <w:right w:val="single" w:color="auto" w:sz="4" w:space="0"/>
            </w:tcBorders>
            <w:vAlign w:val="center"/>
          </w:tcPr>
          <w:p w14:paraId="736E5A71">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320</w:t>
            </w:r>
          </w:p>
        </w:tc>
        <w:tc>
          <w:tcPr>
            <w:tcW w:w="1224" w:type="dxa"/>
            <w:tcBorders>
              <w:top w:val="single" w:color="auto" w:sz="4" w:space="0"/>
              <w:left w:val="single" w:color="auto" w:sz="4" w:space="0"/>
              <w:bottom w:val="single" w:color="auto" w:sz="4" w:space="0"/>
              <w:right w:val="single" w:color="auto" w:sz="4" w:space="0"/>
            </w:tcBorders>
            <w:vAlign w:val="center"/>
          </w:tcPr>
          <w:p w14:paraId="7A7815CD">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38.10%</w:t>
            </w:r>
          </w:p>
        </w:tc>
        <w:tc>
          <w:tcPr>
            <w:tcW w:w="1619" w:type="dxa"/>
            <w:tcBorders>
              <w:top w:val="single" w:color="auto" w:sz="4" w:space="0"/>
              <w:left w:val="single" w:color="auto" w:sz="4" w:space="0"/>
              <w:bottom w:val="single" w:color="auto" w:sz="4" w:space="0"/>
              <w:right w:val="single" w:color="auto" w:sz="4" w:space="0"/>
            </w:tcBorders>
            <w:vAlign w:val="center"/>
          </w:tcPr>
          <w:p w14:paraId="1C3E968D">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27.81%</w:t>
            </w:r>
          </w:p>
        </w:tc>
      </w:tr>
      <w:tr w14:paraId="15F0E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240" w:type="dxa"/>
            <w:gridSpan w:val="2"/>
            <w:tcBorders>
              <w:top w:val="single" w:color="auto" w:sz="4" w:space="0"/>
              <w:left w:val="single" w:color="auto" w:sz="4" w:space="0"/>
              <w:bottom w:val="single" w:color="auto" w:sz="4" w:space="0"/>
              <w:right w:val="single" w:color="auto" w:sz="4" w:space="0"/>
            </w:tcBorders>
            <w:vAlign w:val="center"/>
          </w:tcPr>
          <w:p w14:paraId="28D30DBB">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val="0"/>
                <w:bCs w:val="0"/>
                <w:i w:val="0"/>
                <w:iCs w:val="0"/>
                <w:snapToGrid w:val="0"/>
                <w:color w:val="000000"/>
                <w:kern w:val="0"/>
                <w:sz w:val="22"/>
                <w:szCs w:val="22"/>
                <w:u w:val="none"/>
                <w:lang w:val="en-US" w:eastAsia="zh-CN" w:bidi="ar"/>
              </w:rPr>
              <w:t>总计</w:t>
            </w:r>
          </w:p>
        </w:tc>
        <w:tc>
          <w:tcPr>
            <w:tcW w:w="838" w:type="dxa"/>
            <w:tcBorders>
              <w:top w:val="single" w:color="auto" w:sz="4" w:space="0"/>
              <w:left w:val="single" w:color="auto" w:sz="4" w:space="0"/>
              <w:bottom w:val="single" w:color="auto" w:sz="4" w:space="0"/>
              <w:right w:val="single" w:color="auto" w:sz="4" w:space="0"/>
            </w:tcBorders>
            <w:vAlign w:val="center"/>
          </w:tcPr>
          <w:p w14:paraId="56FB5055">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156</w:t>
            </w:r>
          </w:p>
        </w:tc>
        <w:tc>
          <w:tcPr>
            <w:tcW w:w="838" w:type="dxa"/>
            <w:tcBorders>
              <w:top w:val="single" w:color="auto" w:sz="4" w:space="0"/>
              <w:left w:val="single" w:color="auto" w:sz="4" w:space="0"/>
              <w:bottom w:val="single" w:color="auto" w:sz="4" w:space="0"/>
              <w:right w:val="single" w:color="auto" w:sz="4" w:space="0"/>
            </w:tcBorders>
            <w:vAlign w:val="center"/>
          </w:tcPr>
          <w:p w14:paraId="7121F2D7">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3020</w:t>
            </w:r>
          </w:p>
        </w:tc>
        <w:tc>
          <w:tcPr>
            <w:tcW w:w="838" w:type="dxa"/>
            <w:tcBorders>
              <w:top w:val="single" w:color="auto" w:sz="4" w:space="0"/>
              <w:left w:val="single" w:color="auto" w:sz="4" w:space="0"/>
              <w:bottom w:val="single" w:color="auto" w:sz="4" w:space="0"/>
              <w:right w:val="single" w:color="auto" w:sz="4" w:space="0"/>
            </w:tcBorders>
            <w:vAlign w:val="center"/>
          </w:tcPr>
          <w:p w14:paraId="12B8E509">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1376</w:t>
            </w:r>
          </w:p>
        </w:tc>
        <w:tc>
          <w:tcPr>
            <w:tcW w:w="838" w:type="dxa"/>
            <w:tcBorders>
              <w:top w:val="single" w:color="auto" w:sz="4" w:space="0"/>
              <w:left w:val="single" w:color="auto" w:sz="4" w:space="0"/>
              <w:bottom w:val="single" w:color="auto" w:sz="4" w:space="0"/>
              <w:right w:val="single" w:color="auto" w:sz="4" w:space="0"/>
            </w:tcBorders>
            <w:vAlign w:val="center"/>
          </w:tcPr>
          <w:p w14:paraId="3CB781D8">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1644</w:t>
            </w:r>
          </w:p>
        </w:tc>
        <w:tc>
          <w:tcPr>
            <w:tcW w:w="1224" w:type="dxa"/>
            <w:tcBorders>
              <w:top w:val="single" w:color="auto" w:sz="4" w:space="0"/>
              <w:left w:val="single" w:color="auto" w:sz="4" w:space="0"/>
              <w:bottom w:val="single" w:color="auto" w:sz="4" w:space="0"/>
              <w:right w:val="single" w:color="auto" w:sz="4" w:space="0"/>
            </w:tcBorders>
            <w:vAlign w:val="center"/>
          </w:tcPr>
          <w:p w14:paraId="711B8D22">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54.44%</w:t>
            </w:r>
          </w:p>
        </w:tc>
        <w:tc>
          <w:tcPr>
            <w:tcW w:w="1619" w:type="dxa"/>
            <w:tcBorders>
              <w:top w:val="single" w:color="auto" w:sz="4" w:space="0"/>
              <w:left w:val="single" w:color="auto" w:sz="4" w:space="0"/>
              <w:bottom w:val="single" w:color="auto" w:sz="4" w:space="0"/>
              <w:right w:val="single" w:color="auto" w:sz="4" w:space="0"/>
            </w:tcBorders>
            <w:vAlign w:val="center"/>
          </w:tcPr>
          <w:p w14:paraId="66249B74">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100%</w:t>
            </w:r>
          </w:p>
        </w:tc>
      </w:tr>
    </w:tbl>
    <w:p w14:paraId="77067B7B">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35" w:name="_Toc19978"/>
      <w:bookmarkStart w:id="36" w:name="_Toc23366"/>
      <w:r>
        <w:t>八、实施保障</w:t>
      </w:r>
      <w:bookmarkEnd w:id="35"/>
      <w:bookmarkEnd w:id="36"/>
    </w:p>
    <w:p w14:paraId="0FB5C787">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37" w:name="_Toc13267"/>
      <w:bookmarkStart w:id="38" w:name="_Toc29145"/>
      <w:r>
        <w:t>（一）师资队伍</w:t>
      </w:r>
      <w:bookmarkEnd w:id="37"/>
      <w:bookmarkEnd w:id="38"/>
    </w:p>
    <w:p w14:paraId="75FF5198">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1.队伍结构</w:t>
      </w:r>
    </w:p>
    <w:p w14:paraId="44E5B97B">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学院共有教职工58人，其中教授3人，副教授10人；博士2人，硕士28人，68%的教师为“双师型”教师。</w:t>
      </w:r>
    </w:p>
    <w:p w14:paraId="038CD997">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2.专任教师</w:t>
      </w:r>
    </w:p>
    <w:p w14:paraId="5E85F05A">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专任教师51人，其中基础课教师25人，专业课教师26人，专业课教师占51%，均持有高校教师资格证，教师教书育人理想信念坚定，师德师风良好，学识扎实，实践技能操作能力强，信息化教学能力强，具有良好的教育教学改革能力。能按照教育部要求进行课程思政的融入和思政课程的专业化教学。</w:t>
      </w:r>
    </w:p>
    <w:p w14:paraId="14FE6DD1">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3.专业带头人</w:t>
      </w:r>
    </w:p>
    <w:p w14:paraId="4F842F06">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本专业有正高级职称专业带头人1人，兼任全国卫生职业教育委员会临床医学专业分委会委员、全国卫生职业教育外科研究会理事，能够较好地把握国内外临床医学专业、行业的发展，具有较高的专业水平和较强的科研能力，能够引领专业建设及教学改革，在本区域及本领域具有一定的影响力。</w:t>
      </w:r>
    </w:p>
    <w:p w14:paraId="6E7B018D">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4.兼职教师</w:t>
      </w:r>
    </w:p>
    <w:p w14:paraId="0C74A180">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本专业对接二甲及以上医院，聘请行业兼职教师21人，兼职教师具有良好的思想政治素质、职业道德，具有中级及以上专业技术职称，在行业技术岗位工作5年以上，能够承担专业课程教学、实习、实践指导和学生职业发展规划指导等教学任务。</w:t>
      </w:r>
    </w:p>
    <w:p w14:paraId="3727606C">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5.教学胜任能力</w:t>
      </w:r>
    </w:p>
    <w:p w14:paraId="7AA31D68">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学院教师在教育教学领域取得了显著成绩，荣获省级职业教育教学成果奖一、二等奖各1项；省级职业教育教学能力竞赛一、二、三等奖20余人次。多位教师荣获甘肃省“杰出青年岗位技术能手”、技术标兵、园丁奖优秀教师等荣誉。在国家级及省级职业院校技能大赛中多次指导学生获得一、二、三等奖。</w:t>
      </w:r>
    </w:p>
    <w:p w14:paraId="7AEF8E15">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6.除以上师资队伍说明外，本专业与相关企业深度合作，推进“产教融合协同”为保障“1.5+0.5+1”三段进阶式人才培养模式的有效实施，构建“校内教师+企业导师”双元协同、各阶段特色鲜明的师资队伍，具体如下：</w:t>
      </w:r>
    </w:p>
    <w:p w14:paraId="0592F085">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1）医学影像班：医疗机构影像科室：邀请三甲医院放射科主任医师、超声科主任、核医学科专家，他们拥有深厚的影像诊断经验与临床教学能力。医疗器械企业：引入医学影像设备研发工程师、售后服务工程师、临床应用培训专家，如GE、西门子等国际知名影像设备企业人才。影像诊断中心：吸纳独立影像诊断机构的影像诊断医师、质控专家，了解行业最新诊断标准与质控要求。</w:t>
      </w:r>
    </w:p>
    <w:p w14:paraId="785CD432">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2）慢病管理班：①基层医疗卫生机构：聘请社区卫生服务中心的全科医生、公共卫生医师、健康管理师，他们在慢病预防、筛查、干预等方面有丰富的基层实践经验。②健康管理企业：邀请慢病管理方案设计师、健康咨询顾问、健康产品推广专家，来自专业健康管理机构及保险公司健康管理部门。③药企与医疗器械企业：吸纳慢性病药物研发人员、家用医疗设备研发技术人员，了解慢病相关产品的研发与应用。</w:t>
      </w:r>
    </w:p>
    <w:p w14:paraId="4A3CAAAD">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3）健康大数据班：①医疗信息化企业：引入健康大数据平台开发工程师、数据分析师、项目经理，包括国内知名医疗信息化企业及健康管理科技公司人才。②医疗机构信息部门：邀请医院信息科主任、健康数据管理专家，他们熟悉医院健康数据的采集、存储与应用流程。③科研机构：联合健康大数据研究领域的科研人员，参与专业课程建设与学生科研指导。</w:t>
      </w:r>
    </w:p>
    <w:p w14:paraId="5A9C1E9E">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4）医学美容技术班：①美容医疗机构：已聘请天水407医院的美容外科医生、美容皮肤科医生、美容护理专家等，具备丰富的临床手术、皮肤诊疗及护理经验。②美容产品企业：邀请美容护肤产品研发工程师、美容仪器研发技术人员、美容产品培训讲师，涵盖国际一线美容品牌及本土知名企业人才。③行业协会：邀请甘肃省医学美容协会会长，现兰州大学第二医院烧伤整形外科主任医师举办讲座及指导，可确保学生接触到行业前沿动态与规范。</w:t>
      </w:r>
    </w:p>
    <w:p w14:paraId="7F35A3AD">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39" w:name="_Toc28336"/>
      <w:bookmarkStart w:id="40" w:name="_Toc8060"/>
      <w:r>
        <w:t>（二）教学设施</w:t>
      </w:r>
      <w:bookmarkEnd w:id="39"/>
      <w:bookmarkEnd w:id="40"/>
    </w:p>
    <w:p w14:paraId="7D799913">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1.专业教室基本条件</w:t>
      </w:r>
    </w:p>
    <w:p w14:paraId="7717A1E9">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（1）普通教室：配备智慧黑板、投影设备、音响设备、互联网接入或Wi-Fi环境，并实施网络安全防护措施；安装应急照明装置并保持良好状态，符合紧急疏散要求、标志明显、保持逃生通道畅通无阻。</w:t>
      </w:r>
    </w:p>
    <w:p w14:paraId="5E9C65A2">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 xml:space="preserve">（2）理实一体化教室：设在临床实训中心，配备电子白板、互联网接入、可拼接六角和座椅、病床或诊查床、普通教学模型或数字化高仿真模型，开展专业核心课的情景模拟教学，培养学生的临床思维和解决实际问题的能力。 </w:t>
      </w:r>
    </w:p>
    <w:p w14:paraId="38A3F4CF">
      <w:pPr>
        <w:pStyle w:val="5"/>
        <w:spacing w:line="500" w:lineRule="exact"/>
        <w:ind w:firstLine="629"/>
        <w:jc w:val="both"/>
        <w:rPr>
          <w:rFonts w:hint="eastAsia"/>
          <w:b w:val="0"/>
          <w:color w:val="auto"/>
          <w:spacing w:val="8"/>
          <w:kern w:val="0"/>
          <w:sz w:val="28"/>
          <w:szCs w:val="28"/>
          <w:highlight w:val="none"/>
          <w:lang w:val="en-US" w:eastAsia="zh-CN"/>
        </w:rPr>
      </w:pPr>
      <w:r>
        <w:rPr>
          <w:rFonts w:hint="eastAsia"/>
          <w:b w:val="0"/>
          <w:color w:val="auto"/>
          <w:spacing w:val="8"/>
          <w:kern w:val="0"/>
          <w:sz w:val="28"/>
          <w:szCs w:val="28"/>
          <w:highlight w:val="none"/>
          <w:lang w:val="en-US" w:eastAsia="zh-CN"/>
        </w:rPr>
        <w:t>2.校内实验、实训基地一览表</w:t>
      </w:r>
    </w:p>
    <w:p w14:paraId="59DA4479">
      <w:pPr>
        <w:pStyle w:val="5"/>
        <w:keepNext w:val="0"/>
        <w:keepLines w:val="0"/>
        <w:pageBreakBefore w:val="0"/>
        <w:widowControl/>
        <w:kinsoku w:val="0"/>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p>
    <w:tbl>
      <w:tblPr>
        <w:tblStyle w:val="14"/>
        <w:tblW w:w="9661"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615"/>
        <w:gridCol w:w="1587"/>
        <w:gridCol w:w="1701"/>
        <w:gridCol w:w="722"/>
        <w:gridCol w:w="870"/>
        <w:gridCol w:w="2581"/>
      </w:tblGrid>
      <w:tr w14:paraId="2A0A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585" w:type="dxa"/>
            <w:vAlign w:val="top"/>
          </w:tcPr>
          <w:p w14:paraId="776AA418">
            <w:pPr>
              <w:spacing w:line="240" w:lineRule="auto"/>
              <w:jc w:val="center"/>
              <w:rPr>
                <w:rFonts w:ascii="楷体" w:hAnsi="楷体" w:eastAsia="楷体" w:cs="楷体"/>
                <w:b/>
                <w:bCs/>
                <w:color w:val="auto"/>
                <w:spacing w:val="4"/>
                <w:kern w:val="0"/>
                <w:sz w:val="20"/>
                <w:szCs w:val="20"/>
                <w:highlight w:val="none"/>
              </w:rPr>
            </w:pPr>
            <w:r>
              <w:rPr>
                <w:rFonts w:ascii="楷体" w:hAnsi="楷体" w:eastAsia="楷体" w:cs="楷体"/>
                <w:b/>
                <w:bCs/>
                <w:color w:val="auto"/>
                <w:spacing w:val="4"/>
                <w:kern w:val="0"/>
                <w:sz w:val="20"/>
                <w:szCs w:val="20"/>
                <w:highlight w:val="none"/>
              </w:rPr>
              <w:t>序号</w:t>
            </w:r>
          </w:p>
        </w:tc>
        <w:tc>
          <w:tcPr>
            <w:tcW w:w="1615" w:type="dxa"/>
            <w:vAlign w:val="top"/>
          </w:tcPr>
          <w:p w14:paraId="6E2DD5AE">
            <w:pPr>
              <w:spacing w:line="240" w:lineRule="auto"/>
              <w:jc w:val="center"/>
              <w:rPr>
                <w:rFonts w:ascii="楷体" w:hAnsi="楷体" w:eastAsia="楷体" w:cs="楷体"/>
                <w:b/>
                <w:bCs/>
                <w:color w:val="auto"/>
                <w:spacing w:val="4"/>
                <w:kern w:val="0"/>
                <w:sz w:val="20"/>
                <w:szCs w:val="20"/>
                <w:highlight w:val="none"/>
              </w:rPr>
            </w:pPr>
            <w:r>
              <w:rPr>
                <w:rFonts w:ascii="楷体" w:hAnsi="楷体" w:eastAsia="楷体" w:cs="楷体"/>
                <w:b/>
                <w:bCs/>
                <w:color w:val="auto"/>
                <w:spacing w:val="4"/>
                <w:kern w:val="0"/>
                <w:sz w:val="20"/>
                <w:szCs w:val="20"/>
                <w:highlight w:val="none"/>
              </w:rPr>
              <w:t>实验实训室名称</w:t>
            </w:r>
          </w:p>
        </w:tc>
        <w:tc>
          <w:tcPr>
            <w:tcW w:w="1587" w:type="dxa"/>
            <w:vAlign w:val="top"/>
          </w:tcPr>
          <w:p w14:paraId="15E02B3D">
            <w:pPr>
              <w:spacing w:line="240" w:lineRule="auto"/>
              <w:jc w:val="center"/>
              <w:rPr>
                <w:rFonts w:ascii="楷体" w:hAnsi="楷体" w:eastAsia="楷体" w:cs="楷体"/>
                <w:b/>
                <w:bCs/>
                <w:color w:val="auto"/>
                <w:spacing w:val="4"/>
                <w:kern w:val="0"/>
                <w:sz w:val="20"/>
                <w:szCs w:val="20"/>
                <w:highlight w:val="none"/>
              </w:rPr>
            </w:pPr>
            <w:r>
              <w:rPr>
                <w:rFonts w:ascii="楷体" w:hAnsi="楷体" w:eastAsia="楷体" w:cs="楷体"/>
                <w:b/>
                <w:bCs/>
                <w:color w:val="auto"/>
                <w:spacing w:val="4"/>
                <w:kern w:val="0"/>
                <w:sz w:val="20"/>
                <w:szCs w:val="20"/>
                <w:highlight w:val="none"/>
              </w:rPr>
              <w:t>实验实训课程</w:t>
            </w:r>
          </w:p>
        </w:tc>
        <w:tc>
          <w:tcPr>
            <w:tcW w:w="1701" w:type="dxa"/>
            <w:vAlign w:val="top"/>
          </w:tcPr>
          <w:p w14:paraId="17733997">
            <w:pPr>
              <w:spacing w:line="240" w:lineRule="auto"/>
              <w:jc w:val="center"/>
              <w:rPr>
                <w:rFonts w:ascii="楷体" w:hAnsi="楷体" w:eastAsia="楷体" w:cs="楷体"/>
                <w:b/>
                <w:bCs/>
                <w:color w:val="auto"/>
                <w:spacing w:val="4"/>
                <w:kern w:val="0"/>
                <w:sz w:val="20"/>
                <w:szCs w:val="20"/>
                <w:highlight w:val="none"/>
              </w:rPr>
            </w:pPr>
            <w:r>
              <w:rPr>
                <w:rFonts w:ascii="楷体" w:hAnsi="楷体" w:eastAsia="楷体" w:cs="楷体"/>
                <w:b/>
                <w:bCs/>
                <w:color w:val="auto"/>
                <w:spacing w:val="4"/>
                <w:kern w:val="0"/>
                <w:sz w:val="20"/>
                <w:szCs w:val="20"/>
                <w:highlight w:val="none"/>
              </w:rPr>
              <w:t>实验实训项目</w:t>
            </w:r>
          </w:p>
        </w:tc>
        <w:tc>
          <w:tcPr>
            <w:tcW w:w="722" w:type="dxa"/>
            <w:vAlign w:val="top"/>
          </w:tcPr>
          <w:p w14:paraId="2A6672CD">
            <w:pPr>
              <w:spacing w:line="240" w:lineRule="auto"/>
              <w:jc w:val="center"/>
              <w:rPr>
                <w:rFonts w:hint="eastAsia" w:ascii="楷体" w:hAnsi="楷体" w:eastAsia="楷体" w:cs="楷体"/>
                <w:b/>
                <w:bCs/>
                <w:color w:val="auto"/>
                <w:spacing w:val="4"/>
                <w:kern w:val="0"/>
                <w:sz w:val="20"/>
                <w:szCs w:val="20"/>
                <w:highlight w:val="none"/>
                <w:lang w:val="en-US" w:eastAsia="zh-CN"/>
              </w:rPr>
            </w:pPr>
            <w:r>
              <w:rPr>
                <w:rFonts w:hint="eastAsia" w:ascii="楷体" w:hAnsi="楷体" w:eastAsia="楷体" w:cs="楷体"/>
                <w:b/>
                <w:bCs/>
                <w:color w:val="auto"/>
                <w:spacing w:val="4"/>
                <w:kern w:val="0"/>
                <w:sz w:val="20"/>
                <w:szCs w:val="20"/>
                <w:highlight w:val="none"/>
                <w:lang w:val="en-US" w:eastAsia="zh-CN"/>
              </w:rPr>
              <w:t>面积</w:t>
            </w:r>
          </w:p>
        </w:tc>
        <w:tc>
          <w:tcPr>
            <w:tcW w:w="870" w:type="dxa"/>
            <w:vAlign w:val="top"/>
          </w:tcPr>
          <w:p w14:paraId="351CF226">
            <w:pPr>
              <w:spacing w:line="240" w:lineRule="auto"/>
              <w:jc w:val="center"/>
              <w:rPr>
                <w:rFonts w:hint="default" w:ascii="楷体" w:hAnsi="楷体" w:eastAsia="楷体" w:cs="楷体"/>
                <w:b/>
                <w:bCs/>
                <w:color w:val="auto"/>
                <w:spacing w:val="4"/>
                <w:kern w:val="0"/>
                <w:sz w:val="20"/>
                <w:szCs w:val="20"/>
                <w:highlight w:val="none"/>
                <w:lang w:val="en-US" w:eastAsia="zh-CN"/>
              </w:rPr>
            </w:pPr>
            <w:r>
              <w:rPr>
                <w:rFonts w:hint="eastAsia" w:ascii="楷体" w:hAnsi="楷体" w:eastAsia="楷体" w:cs="楷体"/>
                <w:b/>
                <w:bCs/>
                <w:color w:val="auto"/>
                <w:spacing w:val="4"/>
                <w:kern w:val="0"/>
                <w:sz w:val="20"/>
                <w:szCs w:val="20"/>
                <w:highlight w:val="none"/>
                <w:lang w:val="en-US" w:eastAsia="zh-CN"/>
              </w:rPr>
              <w:t>地点</w:t>
            </w:r>
          </w:p>
        </w:tc>
        <w:tc>
          <w:tcPr>
            <w:tcW w:w="2581" w:type="dxa"/>
            <w:vAlign w:val="top"/>
          </w:tcPr>
          <w:p w14:paraId="3A6A8D04">
            <w:pPr>
              <w:spacing w:line="240" w:lineRule="auto"/>
              <w:jc w:val="center"/>
              <w:rPr>
                <w:rFonts w:ascii="楷体" w:hAnsi="楷体" w:eastAsia="楷体" w:cs="楷体"/>
                <w:b/>
                <w:bCs/>
                <w:color w:val="auto"/>
                <w:spacing w:val="4"/>
                <w:kern w:val="0"/>
                <w:sz w:val="20"/>
                <w:szCs w:val="20"/>
                <w:highlight w:val="none"/>
              </w:rPr>
            </w:pPr>
            <w:r>
              <w:rPr>
                <w:rFonts w:ascii="楷体" w:hAnsi="楷体" w:eastAsia="楷体" w:cs="楷体"/>
                <w:b/>
                <w:bCs/>
                <w:color w:val="auto"/>
                <w:spacing w:val="4"/>
                <w:kern w:val="0"/>
                <w:sz w:val="20"/>
                <w:szCs w:val="20"/>
                <w:highlight w:val="none"/>
              </w:rPr>
              <w:t>主要设备配置</w:t>
            </w:r>
          </w:p>
        </w:tc>
      </w:tr>
    </w:tbl>
    <w:tbl>
      <w:tblPr>
        <w:tblStyle w:val="10"/>
        <w:tblW w:w="9668"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5"/>
        <w:gridCol w:w="1615"/>
        <w:gridCol w:w="1587"/>
        <w:gridCol w:w="1701"/>
        <w:gridCol w:w="722"/>
        <w:gridCol w:w="870"/>
        <w:gridCol w:w="2588"/>
      </w:tblGrid>
      <w:tr w14:paraId="5BB7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3572DD0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w:t>
            </w:r>
          </w:p>
        </w:tc>
        <w:tc>
          <w:tcPr>
            <w:tcW w:w="1615" w:type="dxa"/>
            <w:vAlign w:val="center"/>
          </w:tcPr>
          <w:p w14:paraId="1295834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人体解剖学与组织胚胎学实验室</w:t>
            </w:r>
          </w:p>
        </w:tc>
        <w:tc>
          <w:tcPr>
            <w:tcW w:w="1587" w:type="dxa"/>
            <w:vAlign w:val="center"/>
          </w:tcPr>
          <w:p w14:paraId="0CD9DD5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人体解剖学与组织胚胎学</w:t>
            </w:r>
          </w:p>
        </w:tc>
        <w:tc>
          <w:tcPr>
            <w:tcW w:w="1701" w:type="dxa"/>
            <w:vAlign w:val="center"/>
          </w:tcPr>
          <w:p w14:paraId="1D0CFBF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解剖学九大系统、胚胎学实验</w:t>
            </w:r>
          </w:p>
        </w:tc>
        <w:tc>
          <w:tcPr>
            <w:tcW w:w="722" w:type="dxa"/>
            <w:vAlign w:val="center"/>
          </w:tcPr>
          <w:p w14:paraId="162B16C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0E14FD2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基础医学院实训中心</w:t>
            </w:r>
          </w:p>
        </w:tc>
        <w:tc>
          <w:tcPr>
            <w:tcW w:w="2588" w:type="dxa"/>
            <w:vAlign w:val="center"/>
          </w:tcPr>
          <w:p w14:paraId="563F76A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多点触控解剖台、数字人系统、显微镜、人体各组织切片、各系统及胚胎学的标本、挂图、模型与视频</w:t>
            </w:r>
          </w:p>
        </w:tc>
      </w:tr>
      <w:tr w14:paraId="597D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1C3ABA1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2</w:t>
            </w:r>
          </w:p>
        </w:tc>
        <w:tc>
          <w:tcPr>
            <w:tcW w:w="1615" w:type="dxa"/>
            <w:vAlign w:val="center"/>
          </w:tcPr>
          <w:p w14:paraId="14015B7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生理学</w:t>
            </w:r>
          </w:p>
          <w:p w14:paraId="131DF78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实验室</w:t>
            </w:r>
          </w:p>
        </w:tc>
        <w:tc>
          <w:tcPr>
            <w:tcW w:w="1587" w:type="dxa"/>
            <w:vAlign w:val="center"/>
          </w:tcPr>
          <w:p w14:paraId="7FAD20E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生理学</w:t>
            </w:r>
          </w:p>
        </w:tc>
        <w:tc>
          <w:tcPr>
            <w:tcW w:w="1701" w:type="dxa"/>
            <w:vAlign w:val="center"/>
          </w:tcPr>
          <w:p w14:paraId="2FD4F0C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血型鉴定、血压测量与心音听诊、呼吸功能检查、视觉与听觉功能及腱反射检查</w:t>
            </w:r>
          </w:p>
          <w:p w14:paraId="1724C8B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反射弧与反射时的测定、血液凝固影响因素、离体蛙心灌流、哺乳动物血压调节、呼吸运动调节、胃肠运动观察、尿生成的影响因素、小脑损伤观察、去大脑僵直等</w:t>
            </w:r>
          </w:p>
        </w:tc>
        <w:tc>
          <w:tcPr>
            <w:tcW w:w="722" w:type="dxa"/>
            <w:vAlign w:val="center"/>
          </w:tcPr>
          <w:p w14:paraId="7934316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6258F77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基础医学院实训中心</w:t>
            </w:r>
          </w:p>
        </w:tc>
        <w:tc>
          <w:tcPr>
            <w:tcW w:w="2588" w:type="dxa"/>
            <w:vAlign w:val="center"/>
          </w:tcPr>
          <w:p w14:paraId="0A1B6EF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ABO及Rh标准血清、采血设备、血压计、听诊器、肺通气功能检查设备、视力表、视野计、色盲图、音叉、叩诊锤、生物机能实验系统</w:t>
            </w:r>
          </w:p>
        </w:tc>
      </w:tr>
      <w:tr w14:paraId="4EB8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2C0B664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3</w:t>
            </w:r>
          </w:p>
        </w:tc>
        <w:tc>
          <w:tcPr>
            <w:tcW w:w="1615" w:type="dxa"/>
            <w:vAlign w:val="center"/>
          </w:tcPr>
          <w:p w14:paraId="4C603FF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病理学与病理生理学</w:t>
            </w:r>
          </w:p>
          <w:p w14:paraId="2383803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实验室</w:t>
            </w:r>
          </w:p>
        </w:tc>
        <w:tc>
          <w:tcPr>
            <w:tcW w:w="1587" w:type="dxa"/>
            <w:vAlign w:val="center"/>
          </w:tcPr>
          <w:p w14:paraId="06DB67E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病理学与病</w:t>
            </w:r>
          </w:p>
          <w:p w14:paraId="2A2D9DD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理生理学</w:t>
            </w:r>
          </w:p>
        </w:tc>
        <w:tc>
          <w:tcPr>
            <w:tcW w:w="1701" w:type="dxa"/>
            <w:vAlign w:val="center"/>
          </w:tcPr>
          <w:p w14:paraId="330C752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组织细胞的适应、损伤与修复、局部血液循环障碍、炎症和常见肿瘤、各系统常见疾病及常见传染病的大体标本及组织病理切片观察</w:t>
            </w:r>
          </w:p>
        </w:tc>
        <w:tc>
          <w:tcPr>
            <w:tcW w:w="722" w:type="dxa"/>
            <w:vAlign w:val="center"/>
          </w:tcPr>
          <w:p w14:paraId="7FF645C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25DFFED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基础医学院实训中心</w:t>
            </w:r>
          </w:p>
        </w:tc>
        <w:tc>
          <w:tcPr>
            <w:tcW w:w="2588" w:type="dxa"/>
            <w:vAlign w:val="center"/>
          </w:tcPr>
          <w:p w14:paraId="1D40819B">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显微镜，组织细胞的适应、损伤与修复、局部血液循环障碍、炎症和常见肿瘤、各系统常见疾病及常见传染病的大体标本、组织病理切片及挂图</w:t>
            </w:r>
          </w:p>
        </w:tc>
      </w:tr>
      <w:tr w14:paraId="55F9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26C33F1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4</w:t>
            </w:r>
          </w:p>
        </w:tc>
        <w:tc>
          <w:tcPr>
            <w:tcW w:w="1615" w:type="dxa"/>
            <w:vAlign w:val="center"/>
          </w:tcPr>
          <w:p w14:paraId="2B58341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药理学</w:t>
            </w:r>
          </w:p>
          <w:p w14:paraId="71D23A6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实验室</w:t>
            </w:r>
          </w:p>
        </w:tc>
        <w:tc>
          <w:tcPr>
            <w:tcW w:w="1587" w:type="dxa"/>
            <w:vAlign w:val="center"/>
          </w:tcPr>
          <w:p w14:paraId="2918680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药理学</w:t>
            </w:r>
          </w:p>
        </w:tc>
        <w:tc>
          <w:tcPr>
            <w:tcW w:w="1701" w:type="dxa"/>
            <w:vAlign w:val="center"/>
          </w:tcPr>
          <w:p w14:paraId="285B94E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药理学动物实验基本技能训练、影响药物效应的因素麻醉药物作用比较、心血管系统药物实验、内脏器官药物实验、毒性药物作用及解毒、动物行为学实验</w:t>
            </w:r>
          </w:p>
        </w:tc>
        <w:tc>
          <w:tcPr>
            <w:tcW w:w="722" w:type="dxa"/>
            <w:vAlign w:val="center"/>
          </w:tcPr>
          <w:p w14:paraId="5C6C633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45282EF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基础医学院实训中心</w:t>
            </w:r>
          </w:p>
        </w:tc>
        <w:tc>
          <w:tcPr>
            <w:tcW w:w="2588" w:type="dxa"/>
            <w:vAlign w:val="center"/>
          </w:tcPr>
          <w:p w14:paraId="319FAE9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哺乳动物手术台、手术器械、生物信息采集处理系统、动物行为学实验系统</w:t>
            </w:r>
            <w:r>
              <w:rPr>
                <w:rFonts w:hint="eastAsia" w:ascii="仿宋" w:hAnsi="仿宋" w:eastAsia="仿宋" w:cs="仿宋"/>
                <w:b w:val="0"/>
                <w:color w:val="auto"/>
                <w:kern w:val="0"/>
                <w:sz w:val="18"/>
                <w:szCs w:val="18"/>
                <w:highlight w:val="none"/>
                <w:lang w:eastAsia="zh-CN"/>
              </w:rPr>
              <w:t>（</w:t>
            </w:r>
            <w:r>
              <w:rPr>
                <w:rFonts w:hint="eastAsia" w:ascii="仿宋" w:hAnsi="仿宋" w:eastAsia="仿宋" w:cs="仿宋"/>
                <w:b w:val="0"/>
                <w:color w:val="auto"/>
                <w:kern w:val="0"/>
                <w:sz w:val="18"/>
                <w:szCs w:val="18"/>
                <w:highlight w:val="none"/>
              </w:rPr>
              <w:t>迷宫、睡眠系统、游泳系统</w:t>
            </w:r>
            <w:r>
              <w:rPr>
                <w:rFonts w:hint="eastAsia" w:ascii="仿宋" w:hAnsi="仿宋" w:eastAsia="仿宋" w:cs="仿宋"/>
                <w:b w:val="0"/>
                <w:color w:val="auto"/>
                <w:kern w:val="0"/>
                <w:sz w:val="18"/>
                <w:szCs w:val="18"/>
                <w:highlight w:val="none"/>
                <w:lang w:eastAsia="zh-CN"/>
              </w:rPr>
              <w:t>）</w:t>
            </w:r>
            <w:r>
              <w:rPr>
                <w:rFonts w:hint="eastAsia" w:ascii="仿宋" w:hAnsi="仿宋" w:eastAsia="仿宋" w:cs="仿宋"/>
                <w:b w:val="0"/>
                <w:color w:val="auto"/>
                <w:kern w:val="0"/>
                <w:sz w:val="18"/>
                <w:szCs w:val="18"/>
                <w:highlight w:val="none"/>
              </w:rPr>
              <w:t>、铁架台、试管（架）、鼠笼、兔匣、水浴锅、注射器、酒精灯、各种实验用药品</w:t>
            </w:r>
          </w:p>
        </w:tc>
      </w:tr>
      <w:tr w14:paraId="6FA1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4F17818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w:t>
            </w:r>
          </w:p>
        </w:tc>
        <w:tc>
          <w:tcPr>
            <w:tcW w:w="1615" w:type="dxa"/>
            <w:vAlign w:val="center"/>
          </w:tcPr>
          <w:p w14:paraId="53D17B4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病原生物与免疫学</w:t>
            </w:r>
          </w:p>
          <w:p w14:paraId="26740F9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实验室</w:t>
            </w:r>
          </w:p>
        </w:tc>
        <w:tc>
          <w:tcPr>
            <w:tcW w:w="1587" w:type="dxa"/>
            <w:vAlign w:val="center"/>
          </w:tcPr>
          <w:p w14:paraId="4D86ECCB">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病原生物与</w:t>
            </w:r>
          </w:p>
          <w:p w14:paraId="4C3718E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免疫学</w:t>
            </w:r>
          </w:p>
        </w:tc>
        <w:tc>
          <w:tcPr>
            <w:tcW w:w="1701" w:type="dxa"/>
            <w:vAlign w:val="center"/>
          </w:tcPr>
          <w:p w14:paraId="78C2A0F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革兰染色法、细菌的基本形态、特殊结构观察、细菌接种及培养、类风湿因子检测、双向琼脂扩散实验、E</w:t>
            </w:r>
            <w:r>
              <w:rPr>
                <w:rFonts w:hint="eastAsia" w:ascii="仿宋" w:hAnsi="仿宋" w:eastAsia="仿宋" w:cs="仿宋"/>
                <w:b w:val="0"/>
                <w:color w:val="auto"/>
                <w:kern w:val="0"/>
                <w:sz w:val="18"/>
                <w:szCs w:val="18"/>
                <w:highlight w:val="none"/>
                <w:lang w:eastAsia="zh-CN"/>
              </w:rPr>
              <w:t>－</w:t>
            </w:r>
            <w:r>
              <w:rPr>
                <w:rFonts w:hint="eastAsia" w:ascii="仿宋" w:hAnsi="仿宋" w:eastAsia="仿宋" w:cs="仿宋"/>
                <w:b w:val="0"/>
                <w:color w:val="auto"/>
                <w:kern w:val="0"/>
                <w:sz w:val="18"/>
                <w:szCs w:val="18"/>
                <w:highlight w:val="none"/>
              </w:rPr>
              <w:t>花环、淋巴细胞转化试验结果观察、寄生虫及虫卵形态学观察等</w:t>
            </w:r>
          </w:p>
        </w:tc>
        <w:tc>
          <w:tcPr>
            <w:tcW w:w="722" w:type="dxa"/>
            <w:vAlign w:val="center"/>
          </w:tcPr>
          <w:p w14:paraId="5DA52DA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24D4E29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基础医学院实训中心</w:t>
            </w:r>
          </w:p>
        </w:tc>
        <w:tc>
          <w:tcPr>
            <w:tcW w:w="2588" w:type="dxa"/>
            <w:vAlign w:val="center"/>
          </w:tcPr>
          <w:p w14:paraId="160597EB">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显微镜、空气消毒器、恒温培养箱、干燥箱、生物冷藏柜、立式高压锅、生物安全柜、离心机</w:t>
            </w:r>
          </w:p>
        </w:tc>
      </w:tr>
      <w:tr w14:paraId="4E62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2F9F7FE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6</w:t>
            </w:r>
          </w:p>
        </w:tc>
        <w:tc>
          <w:tcPr>
            <w:tcW w:w="1615" w:type="dxa"/>
            <w:vAlign w:val="center"/>
          </w:tcPr>
          <w:p w14:paraId="14FBABC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生物化学</w:t>
            </w:r>
          </w:p>
          <w:p w14:paraId="15FA7EE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实验室</w:t>
            </w:r>
          </w:p>
        </w:tc>
        <w:tc>
          <w:tcPr>
            <w:tcW w:w="1587" w:type="dxa"/>
            <w:vAlign w:val="center"/>
          </w:tcPr>
          <w:p w14:paraId="45E292C5">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生物化学</w:t>
            </w:r>
          </w:p>
        </w:tc>
        <w:tc>
          <w:tcPr>
            <w:tcW w:w="1701" w:type="dxa"/>
            <w:vAlign w:val="center"/>
          </w:tcPr>
          <w:p w14:paraId="2025744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蛋白质的理化性质、酶的专一性、影响酶促反应速度的因素、维生素的测定、糖类的还原作用、动物肝脏DNA的提取等</w:t>
            </w:r>
          </w:p>
        </w:tc>
        <w:tc>
          <w:tcPr>
            <w:tcW w:w="722" w:type="dxa"/>
            <w:vAlign w:val="center"/>
          </w:tcPr>
          <w:p w14:paraId="57EA59B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548011A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基础医学院实训中心</w:t>
            </w:r>
          </w:p>
        </w:tc>
        <w:tc>
          <w:tcPr>
            <w:tcW w:w="2588" w:type="dxa"/>
            <w:vAlign w:val="center"/>
          </w:tcPr>
          <w:p w14:paraId="5032F80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紫外-可见分光光度计、半自动生化分析仪、电泳仪及电泳槽、恒温水浴箱、干燥箱、离心机、电子天平、旋光仪、冰箱</w:t>
            </w:r>
          </w:p>
        </w:tc>
      </w:tr>
      <w:tr w14:paraId="00FB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2802CFB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7</w:t>
            </w:r>
          </w:p>
        </w:tc>
        <w:tc>
          <w:tcPr>
            <w:tcW w:w="1615" w:type="dxa"/>
            <w:vAlign w:val="center"/>
          </w:tcPr>
          <w:p w14:paraId="0EE7A9C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院前急救</w:t>
            </w:r>
          </w:p>
          <w:p w14:paraId="6869DCC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实训室</w:t>
            </w:r>
          </w:p>
        </w:tc>
        <w:tc>
          <w:tcPr>
            <w:tcW w:w="1587" w:type="dxa"/>
            <w:vAlign w:val="center"/>
          </w:tcPr>
          <w:p w14:paraId="4047F78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急诊医学</w:t>
            </w:r>
          </w:p>
        </w:tc>
        <w:tc>
          <w:tcPr>
            <w:tcW w:w="1701" w:type="dxa"/>
            <w:vAlign w:val="center"/>
          </w:tcPr>
          <w:p w14:paraId="23EF5D65">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CPR+AED训练、除颤仪的使用、心电监护、气管插管与气道管理、止血、包扎、固定、搬运与转运、急救团队训练</w:t>
            </w:r>
          </w:p>
        </w:tc>
        <w:tc>
          <w:tcPr>
            <w:tcW w:w="722" w:type="dxa"/>
            <w:vAlign w:val="center"/>
          </w:tcPr>
          <w:p w14:paraId="30DEA86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68EE966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240C253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网络化急救医学情景仿真训练系统、高级心肺复苏训练模拟人、院前急救综合模拟训练系统、四肢出血止血模型、可视化心肺复苏模型、综合高级气道管理模型、上下肢残端包扎练习模型</w:t>
            </w:r>
          </w:p>
        </w:tc>
      </w:tr>
      <w:tr w14:paraId="6BC9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4A46083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8</w:t>
            </w:r>
          </w:p>
        </w:tc>
        <w:tc>
          <w:tcPr>
            <w:tcW w:w="1615" w:type="dxa"/>
            <w:vAlign w:val="center"/>
          </w:tcPr>
          <w:p w14:paraId="7BB5094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重症监护治疗实训室</w:t>
            </w:r>
          </w:p>
        </w:tc>
        <w:tc>
          <w:tcPr>
            <w:tcW w:w="1587" w:type="dxa"/>
            <w:vAlign w:val="center"/>
          </w:tcPr>
          <w:p w14:paraId="6B32E1E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急诊医学</w:t>
            </w:r>
          </w:p>
          <w:p w14:paraId="1A1162C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重症医学</w:t>
            </w:r>
          </w:p>
        </w:tc>
        <w:tc>
          <w:tcPr>
            <w:tcW w:w="1701" w:type="dxa"/>
            <w:vAlign w:val="center"/>
          </w:tcPr>
          <w:p w14:paraId="2806B8D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CPR训练、除颤仪的使用、心电监护、气管插管与气道管理、急重危病人的监护与综合救治</w:t>
            </w:r>
          </w:p>
        </w:tc>
        <w:tc>
          <w:tcPr>
            <w:tcW w:w="722" w:type="dxa"/>
            <w:vAlign w:val="center"/>
          </w:tcPr>
          <w:p w14:paraId="24ED0BE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900m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34EF99C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66EB4BD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ICU</w:t>
            </w:r>
            <w:r>
              <w:rPr>
                <w:rFonts w:hint="eastAsia" w:ascii="仿宋" w:hAnsi="仿宋" w:eastAsia="仿宋" w:cs="仿宋"/>
                <w:b w:val="0"/>
                <w:color w:val="auto"/>
                <w:kern w:val="0"/>
                <w:sz w:val="18"/>
                <w:szCs w:val="18"/>
                <w:highlight w:val="none"/>
                <w:lang w:eastAsia="zh-CN"/>
              </w:rPr>
              <w:t>塔吊</w:t>
            </w:r>
            <w:r>
              <w:rPr>
                <w:rFonts w:hint="eastAsia" w:ascii="仿宋" w:hAnsi="仿宋" w:eastAsia="仿宋" w:cs="仿宋"/>
                <w:b w:val="0"/>
                <w:color w:val="auto"/>
                <w:kern w:val="0"/>
                <w:sz w:val="18"/>
                <w:szCs w:val="18"/>
                <w:highlight w:val="none"/>
              </w:rPr>
              <w:t>、高仿真综合模拟人（爱因斯坦）、超仿真综合模拟儿童（彼得）、智能白板系统、智能化医学情景训练系统</w:t>
            </w:r>
          </w:p>
        </w:tc>
      </w:tr>
      <w:tr w14:paraId="56A6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2F53F0E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9</w:t>
            </w:r>
          </w:p>
        </w:tc>
        <w:tc>
          <w:tcPr>
            <w:tcW w:w="1615" w:type="dxa"/>
            <w:vAlign w:val="center"/>
          </w:tcPr>
          <w:p w14:paraId="424EDE4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儿科技能</w:t>
            </w:r>
          </w:p>
          <w:p w14:paraId="66B1773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实训室</w:t>
            </w:r>
          </w:p>
        </w:tc>
        <w:tc>
          <w:tcPr>
            <w:tcW w:w="1587" w:type="dxa"/>
            <w:vAlign w:val="center"/>
          </w:tcPr>
          <w:p w14:paraId="4137991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儿科学</w:t>
            </w:r>
          </w:p>
        </w:tc>
        <w:tc>
          <w:tcPr>
            <w:tcW w:w="1701" w:type="dxa"/>
            <w:vAlign w:val="center"/>
          </w:tcPr>
          <w:p w14:paraId="0CF95AA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小儿急救技术（气道异物处理、CPR）、新生儿黄疸治疗、温育箱的使用、辐射台的使用</w:t>
            </w:r>
          </w:p>
        </w:tc>
        <w:tc>
          <w:tcPr>
            <w:tcW w:w="722" w:type="dxa"/>
            <w:vAlign w:val="center"/>
          </w:tcPr>
          <w:p w14:paraId="55179B3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05A9C7E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5D668A4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婴儿急救模型、温育箱、</w:t>
            </w:r>
          </w:p>
          <w:p w14:paraId="41D2FFA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辐射台</w:t>
            </w:r>
          </w:p>
        </w:tc>
      </w:tr>
      <w:tr w14:paraId="65EB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5878608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10</w:t>
            </w:r>
          </w:p>
        </w:tc>
        <w:tc>
          <w:tcPr>
            <w:tcW w:w="1615" w:type="dxa"/>
            <w:vAlign w:val="center"/>
          </w:tcPr>
          <w:p w14:paraId="1D1B08D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妇产科技能</w:t>
            </w:r>
          </w:p>
          <w:p w14:paraId="312FAB2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实训室</w:t>
            </w:r>
          </w:p>
        </w:tc>
        <w:tc>
          <w:tcPr>
            <w:tcW w:w="1587" w:type="dxa"/>
            <w:vAlign w:val="center"/>
          </w:tcPr>
          <w:p w14:paraId="0CC5B8B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妇产科学</w:t>
            </w:r>
          </w:p>
        </w:tc>
        <w:tc>
          <w:tcPr>
            <w:tcW w:w="1701" w:type="dxa"/>
            <w:vAlign w:val="center"/>
          </w:tcPr>
          <w:p w14:paraId="184CB54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骨盆内外测量、妇科双合诊检查、阴道擦洗与上药、会阴擦洗与消毒、孕期检查、助产技能综合训练</w:t>
            </w:r>
          </w:p>
        </w:tc>
        <w:tc>
          <w:tcPr>
            <w:tcW w:w="722" w:type="dxa"/>
            <w:vAlign w:val="center"/>
          </w:tcPr>
          <w:p w14:paraId="51D41CD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500m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51645EF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129B2BC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骨盆、骨盆测量仪、妇科检查、会阴局部模型、四步触诊模型，母婴监护仪、高级孕妇模型、分娩过程模型、高级妇科检查训练模型、胎心监护仪、孕妇体验装、电动产床、综合产床、妇科检查模型、高级母子分娩急救模型</w:t>
            </w:r>
          </w:p>
        </w:tc>
      </w:tr>
      <w:tr w14:paraId="7FBF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0CBCDF6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11</w:t>
            </w:r>
          </w:p>
        </w:tc>
        <w:tc>
          <w:tcPr>
            <w:tcW w:w="1615" w:type="dxa"/>
            <w:vAlign w:val="center"/>
          </w:tcPr>
          <w:p w14:paraId="44D3157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内科基本技能实训室</w:t>
            </w:r>
          </w:p>
        </w:tc>
        <w:tc>
          <w:tcPr>
            <w:tcW w:w="1587" w:type="dxa"/>
            <w:vAlign w:val="center"/>
          </w:tcPr>
          <w:p w14:paraId="70EC102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诊断学</w:t>
            </w:r>
          </w:p>
          <w:p w14:paraId="2B35C89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内科学</w:t>
            </w:r>
          </w:p>
        </w:tc>
        <w:tc>
          <w:tcPr>
            <w:tcW w:w="1701" w:type="dxa"/>
            <w:vAlign w:val="center"/>
          </w:tcPr>
          <w:p w14:paraId="495E44D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心肺听诊与肺部触诊模拟训练、心电图检查操作与心电图分析、体格检查、胸腔穿刺术</w:t>
            </w:r>
          </w:p>
          <w:p w14:paraId="4082E39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腹腔穿刺术、腰椎穿刺术、骨髓穿刺术、关节腔穿刺及注药</w:t>
            </w:r>
          </w:p>
        </w:tc>
        <w:tc>
          <w:tcPr>
            <w:tcW w:w="722" w:type="dxa"/>
            <w:vAlign w:val="center"/>
          </w:tcPr>
          <w:p w14:paraId="7861CD4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900m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5B0D0A3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1E4CB4C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心肺听诊与腹部触诊模型、高级心电图检查模拟人、诊查床、体格检查、胸腔穿刺模型、腹腔穿刺模型、腰椎穿刺模型、骨髓穿刺模型、腕关节、踝关节模型</w:t>
            </w:r>
          </w:p>
        </w:tc>
      </w:tr>
      <w:tr w14:paraId="35EF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7A7061A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12</w:t>
            </w:r>
          </w:p>
        </w:tc>
        <w:tc>
          <w:tcPr>
            <w:tcW w:w="1615" w:type="dxa"/>
            <w:vAlign w:val="center"/>
          </w:tcPr>
          <w:p w14:paraId="44606A5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外科基本技能实训室</w:t>
            </w:r>
          </w:p>
        </w:tc>
        <w:tc>
          <w:tcPr>
            <w:tcW w:w="1587" w:type="dxa"/>
            <w:vAlign w:val="center"/>
          </w:tcPr>
          <w:p w14:paraId="41DC578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外科学</w:t>
            </w:r>
          </w:p>
        </w:tc>
        <w:tc>
          <w:tcPr>
            <w:tcW w:w="1701" w:type="dxa"/>
            <w:vAlign w:val="center"/>
          </w:tcPr>
          <w:p w14:paraId="3D15F02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切开、缝合、打结、备皮、胸腔闭式引流技术、胃肠减压技术、清创与换药、手术器械辨认、造口处理</w:t>
            </w:r>
          </w:p>
        </w:tc>
        <w:tc>
          <w:tcPr>
            <w:tcW w:w="722" w:type="dxa"/>
            <w:vAlign w:val="center"/>
          </w:tcPr>
          <w:p w14:paraId="0DAA6DB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5E40011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5877842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切开、缝合臂腿、伤口换药模型、备皮基本用物</w:t>
            </w:r>
          </w:p>
          <w:p w14:paraId="7C14FAF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胸腔闭式引流技术模型、</w:t>
            </w:r>
          </w:p>
          <w:p w14:paraId="4BEBF3A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多功能护理人、清创与换药车、手术器械、造口模型</w:t>
            </w:r>
          </w:p>
        </w:tc>
      </w:tr>
      <w:tr w14:paraId="4F25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2E64AA9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13</w:t>
            </w:r>
          </w:p>
        </w:tc>
        <w:tc>
          <w:tcPr>
            <w:tcW w:w="1615" w:type="dxa"/>
            <w:vAlign w:val="center"/>
          </w:tcPr>
          <w:p w14:paraId="66F166C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模拟手术室</w:t>
            </w:r>
          </w:p>
        </w:tc>
        <w:tc>
          <w:tcPr>
            <w:tcW w:w="1587" w:type="dxa"/>
            <w:vAlign w:val="center"/>
          </w:tcPr>
          <w:p w14:paraId="5601C1A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外科学</w:t>
            </w:r>
          </w:p>
        </w:tc>
        <w:tc>
          <w:tcPr>
            <w:tcW w:w="1701" w:type="dxa"/>
            <w:vAlign w:val="center"/>
          </w:tcPr>
          <w:p w14:paraId="1C6F153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外科手消毒、穿脱无菌手术衣、戴无菌手套、手术器械台管理、手术体位安置、手术区消毒、铺无菌巾、手术切口位置示教</w:t>
            </w:r>
          </w:p>
          <w:p w14:paraId="6C8C8D0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手术配合演练</w:t>
            </w:r>
          </w:p>
        </w:tc>
        <w:tc>
          <w:tcPr>
            <w:tcW w:w="722" w:type="dxa"/>
            <w:vAlign w:val="center"/>
          </w:tcPr>
          <w:p w14:paraId="670B476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36BEBF4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4EBD4C4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红外线感应式一体化洗手池、手术基本用物、手术器械台、手术床、多功能护理人、手术切口示教模型、除颤仪、心电监护仪、麻醉机、呼吸机、无影灯</w:t>
            </w:r>
          </w:p>
        </w:tc>
      </w:tr>
      <w:tr w14:paraId="2E32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5E16EAF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14</w:t>
            </w:r>
          </w:p>
        </w:tc>
        <w:tc>
          <w:tcPr>
            <w:tcW w:w="1615" w:type="dxa"/>
            <w:vAlign w:val="center"/>
          </w:tcPr>
          <w:p w14:paraId="3040622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微创手术虚拟训练实训室</w:t>
            </w:r>
          </w:p>
        </w:tc>
        <w:tc>
          <w:tcPr>
            <w:tcW w:w="1587" w:type="dxa"/>
            <w:vAlign w:val="center"/>
          </w:tcPr>
          <w:p w14:paraId="3101CE3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外科学</w:t>
            </w:r>
          </w:p>
        </w:tc>
        <w:tc>
          <w:tcPr>
            <w:tcW w:w="1701" w:type="dxa"/>
            <w:vAlign w:val="center"/>
          </w:tcPr>
          <w:p w14:paraId="2D50738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关节镜虚拟训练、腹腔镜虚拟训练、PICC虚拟训练</w:t>
            </w:r>
          </w:p>
          <w:p w14:paraId="026D360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硬膜外麻醉虚拟训练</w:t>
            </w:r>
          </w:p>
        </w:tc>
        <w:tc>
          <w:tcPr>
            <w:tcW w:w="722" w:type="dxa"/>
            <w:vAlign w:val="center"/>
          </w:tcPr>
          <w:p w14:paraId="32BE433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4824A5C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40F911F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关节镜虚拟训练系统、腹腔镜虚拟训练系统、PICC虚拟训练系统、硬膜外麻醉虚拟训练系统</w:t>
            </w:r>
          </w:p>
        </w:tc>
      </w:tr>
      <w:tr w14:paraId="5FB8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5A36E21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15</w:t>
            </w:r>
          </w:p>
        </w:tc>
        <w:tc>
          <w:tcPr>
            <w:tcW w:w="1615" w:type="dxa"/>
            <w:vAlign w:val="center"/>
          </w:tcPr>
          <w:p w14:paraId="068D4962">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五官科</w:t>
            </w:r>
          </w:p>
          <w:p w14:paraId="7544D5B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实训室</w:t>
            </w:r>
          </w:p>
        </w:tc>
        <w:tc>
          <w:tcPr>
            <w:tcW w:w="1587" w:type="dxa"/>
            <w:vAlign w:val="center"/>
          </w:tcPr>
          <w:p w14:paraId="6CC7D89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眼耳鼻喉口腔</w:t>
            </w:r>
          </w:p>
          <w:p w14:paraId="49CE317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科学</w:t>
            </w:r>
          </w:p>
        </w:tc>
        <w:tc>
          <w:tcPr>
            <w:tcW w:w="1701" w:type="dxa"/>
            <w:vAlign w:val="center"/>
          </w:tcPr>
          <w:p w14:paraId="064B824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眼底检查、耳部检查、鼻部检查、鼻出血治疗</w:t>
            </w:r>
          </w:p>
        </w:tc>
        <w:tc>
          <w:tcPr>
            <w:tcW w:w="722" w:type="dxa"/>
            <w:vAlign w:val="center"/>
          </w:tcPr>
          <w:p w14:paraId="19D0FF6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01E2318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5D9333E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眼视网膜病变检查训练模型、耳内检查模型（双侧）</w:t>
            </w:r>
          </w:p>
          <w:p w14:paraId="733BFF29">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高级耳部冲洗模型、高级耳诊断模型、鼻腔出血模型、</w:t>
            </w:r>
            <w:r>
              <w:rPr>
                <w:rFonts w:hint="eastAsia" w:ascii="仿宋" w:hAnsi="仿宋" w:eastAsia="仿宋" w:cs="仿宋"/>
                <w:b w:val="0"/>
                <w:color w:val="auto"/>
                <w:kern w:val="0"/>
                <w:sz w:val="18"/>
                <w:szCs w:val="18"/>
                <w:highlight w:val="none"/>
                <w:lang w:eastAsia="zh-CN"/>
              </w:rPr>
              <w:t>检眼镜</w:t>
            </w:r>
            <w:r>
              <w:rPr>
                <w:rFonts w:hint="eastAsia" w:ascii="仿宋" w:hAnsi="仿宋" w:eastAsia="仿宋" w:cs="仿宋"/>
                <w:b w:val="0"/>
                <w:color w:val="auto"/>
                <w:kern w:val="0"/>
                <w:sz w:val="18"/>
                <w:szCs w:val="18"/>
                <w:highlight w:val="none"/>
              </w:rPr>
              <w:t>虚拟训练系统、耳道镜虚拟训练系统</w:t>
            </w:r>
          </w:p>
        </w:tc>
      </w:tr>
      <w:tr w14:paraId="7CCE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4EA7BB6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16</w:t>
            </w:r>
          </w:p>
        </w:tc>
        <w:tc>
          <w:tcPr>
            <w:tcW w:w="1615" w:type="dxa"/>
            <w:vAlign w:val="center"/>
          </w:tcPr>
          <w:p w14:paraId="13CDB790">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康复技能</w:t>
            </w:r>
          </w:p>
          <w:p w14:paraId="5607D1EC">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实训室</w:t>
            </w:r>
          </w:p>
        </w:tc>
        <w:tc>
          <w:tcPr>
            <w:tcW w:w="1587" w:type="dxa"/>
            <w:vAlign w:val="center"/>
          </w:tcPr>
          <w:p w14:paraId="050D36E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康复医学</w:t>
            </w:r>
          </w:p>
          <w:p w14:paraId="67012D6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康复治疗技术</w:t>
            </w:r>
          </w:p>
        </w:tc>
        <w:tc>
          <w:tcPr>
            <w:tcW w:w="1701" w:type="dxa"/>
            <w:vAlign w:val="center"/>
          </w:tcPr>
          <w:p w14:paraId="3337228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中医传统康复技术、中药熏蒸</w:t>
            </w:r>
          </w:p>
          <w:p w14:paraId="65338C26">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技术</w:t>
            </w:r>
          </w:p>
        </w:tc>
        <w:tc>
          <w:tcPr>
            <w:tcW w:w="722" w:type="dxa"/>
            <w:vAlign w:val="center"/>
          </w:tcPr>
          <w:p w14:paraId="05946D1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900m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2A2ACD2D">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470DF071">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耳针灸模型、熏蒸床、智能推拿手法参数测定仪、多媒体按摩点穴电子人体模型4套、玻璃拔罐（大、中、小号）、刮痧板</w:t>
            </w:r>
          </w:p>
        </w:tc>
      </w:tr>
      <w:tr w14:paraId="6E33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85" w:type="dxa"/>
            <w:vAlign w:val="center"/>
          </w:tcPr>
          <w:p w14:paraId="072DB958">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17</w:t>
            </w:r>
          </w:p>
        </w:tc>
        <w:tc>
          <w:tcPr>
            <w:tcW w:w="1615" w:type="dxa"/>
            <w:vAlign w:val="center"/>
          </w:tcPr>
          <w:p w14:paraId="002C28EF">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客观结构化临床技能考试中心（OSCE考站）</w:t>
            </w:r>
          </w:p>
        </w:tc>
        <w:tc>
          <w:tcPr>
            <w:tcW w:w="1587" w:type="dxa"/>
            <w:vAlign w:val="center"/>
          </w:tcPr>
          <w:p w14:paraId="392B02A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诊断学</w:t>
            </w:r>
          </w:p>
          <w:p w14:paraId="4210E854">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临床技能考试</w:t>
            </w:r>
          </w:p>
        </w:tc>
        <w:tc>
          <w:tcPr>
            <w:tcW w:w="1701" w:type="dxa"/>
            <w:vAlign w:val="center"/>
          </w:tcPr>
          <w:p w14:paraId="1DADC0D3">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病史采集、多站式技能考核、病例讨论</w:t>
            </w:r>
          </w:p>
        </w:tc>
        <w:tc>
          <w:tcPr>
            <w:tcW w:w="722" w:type="dxa"/>
            <w:vAlign w:val="center"/>
          </w:tcPr>
          <w:p w14:paraId="2DCB1E1E">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900m</w:t>
            </w:r>
            <w:r>
              <w:rPr>
                <w:rFonts w:hint="eastAsia" w:ascii="仿宋" w:hAnsi="仿宋" w:eastAsia="仿宋" w:cs="仿宋"/>
                <w:b w:val="0"/>
                <w:color w:val="auto"/>
                <w:kern w:val="0"/>
                <w:sz w:val="18"/>
                <w:szCs w:val="18"/>
                <w:highlight w:val="none"/>
                <w:vertAlign w:val="superscript"/>
              </w:rPr>
              <w:t>2</w:t>
            </w:r>
          </w:p>
        </w:tc>
        <w:tc>
          <w:tcPr>
            <w:tcW w:w="870" w:type="dxa"/>
            <w:vAlign w:val="center"/>
          </w:tcPr>
          <w:p w14:paraId="644F38F7">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临床医学院实训中心</w:t>
            </w:r>
          </w:p>
        </w:tc>
        <w:tc>
          <w:tcPr>
            <w:tcW w:w="2588" w:type="dxa"/>
            <w:vAlign w:val="center"/>
          </w:tcPr>
          <w:p w14:paraId="4E49544A">
            <w:pPr>
              <w:pStyle w:val="15"/>
              <w:widowControl w:val="0"/>
              <w:spacing w:line="240" w:lineRule="auto"/>
              <w:jc w:val="center"/>
              <w:rPr>
                <w:rFonts w:hint="eastAsia" w:ascii="仿宋" w:hAnsi="仿宋" w:eastAsia="仿宋" w:cs="仿宋"/>
                <w:b w:val="0"/>
                <w:color w:val="auto"/>
                <w:kern w:val="0"/>
                <w:sz w:val="18"/>
                <w:szCs w:val="18"/>
                <w:highlight w:val="none"/>
              </w:rPr>
            </w:pPr>
            <w:r>
              <w:rPr>
                <w:rFonts w:hint="eastAsia" w:ascii="仿宋" w:hAnsi="仿宋" w:eastAsia="仿宋" w:cs="仿宋"/>
                <w:b w:val="0"/>
                <w:color w:val="auto"/>
                <w:kern w:val="0"/>
                <w:sz w:val="18"/>
                <w:szCs w:val="18"/>
                <w:highlight w:val="none"/>
              </w:rPr>
              <w:t>门诊诊室基本配置、壁挂式全科诊疗系统、中控系统、云台监控系统、语音识别与对讲系统</w:t>
            </w:r>
          </w:p>
        </w:tc>
      </w:tr>
    </w:tbl>
    <w:p w14:paraId="320D4037">
      <w:pPr>
        <w:pStyle w:val="5"/>
        <w:keepNext w:val="0"/>
        <w:keepLines w:val="0"/>
        <w:pageBreakBefore w:val="0"/>
        <w:widowControl/>
        <w:kinsoku w:val="0"/>
        <w:wordWrap/>
        <w:overflowPunct/>
        <w:topLinePunct w:val="0"/>
        <w:autoSpaceDE w:val="0"/>
        <w:autoSpaceDN w:val="0"/>
        <w:bidi w:val="0"/>
        <w:adjustRightInd w:val="0"/>
        <w:snapToGrid w:val="0"/>
        <w:spacing w:line="240" w:lineRule="auto"/>
        <w:ind w:left="102" w:right="119" w:firstLine="629"/>
        <w:textAlignment w:val="baseline"/>
        <w:rPr>
          <w:rFonts w:hint="eastAsia" w:eastAsia="仿宋"/>
          <w:lang w:val="en-US" w:eastAsia="zh-CN"/>
        </w:rPr>
      </w:pPr>
      <w:r>
        <w:rPr>
          <w:b/>
          <w:bCs/>
          <w:spacing w:val="5"/>
        </w:rPr>
        <w:t>3.校外实习实训基地</w:t>
      </w:r>
    </w:p>
    <w:p w14:paraId="13BD9D4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本专业具有稳定的教学医院5家、校外实习实训基地6家，设施设备齐全，满足学生实习实践需求。其中，二级甲等以上医院8家，如甘肃省人民医院、甘肃省第二人民医院、甘肃省第三人民医院、甘肃省康复中心医院、兰州市第二人民医院、兰州新区第一人民医院、西固区人民医院、天水407医院、临夏回族自治州人民医院等，能为专业提供门急诊科、内科、外科、妇产科、儿科、ICU、手术室等相关实习实践岗位；同时，基层医疗卫生机构也为专业提供实习实践岗位。各实习实训基地均制定完善的实习实践管理规章制度，配备了相应数量的中级及以上职称指导教师，对学生实习实训进行指导和管理，保障实习实践安全、有序进行。坚持医教协同，深化产教融合，共同开展临床医学人才培养质量评价。</w:t>
      </w:r>
    </w:p>
    <w:p w14:paraId="4EB04F87">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41" w:name="_Toc10872"/>
      <w:bookmarkStart w:id="42" w:name="_Toc3600"/>
      <w:r>
        <w:t>（三）教学资源</w:t>
      </w:r>
      <w:bookmarkEnd w:id="41"/>
      <w:bookmarkEnd w:id="42"/>
    </w:p>
    <w:p w14:paraId="014A998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1.教材选用</w:t>
      </w:r>
    </w:p>
    <w:p w14:paraId="01286F19">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选用近三年出版的国家规划教材、校企（院校）合作开发的特色课程教材以及与本专业人才培养方案中所需求的执业/职业资格证书或技能证书等考试相结合的教材。</w:t>
      </w:r>
    </w:p>
    <w:p w14:paraId="61C9273F">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2.图书文献</w:t>
      </w:r>
    </w:p>
    <w:p w14:paraId="7428834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配备能满足人才培养、专业建设、课程建设、教科研等工作需要的图书文献。主要包括：临床专业政策法规、行业标准、技术规范以及操作手册等；供临床专业用辅助及拓展教材；临床专业学术期刊等。</w:t>
      </w:r>
    </w:p>
    <w:p w14:paraId="6749F154">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3.数字教学资源</w:t>
      </w:r>
    </w:p>
    <w:p w14:paraId="09486C8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建设、配备本专业教学资源库（音视频素材、教学课件、数字化教学案例库、虚拟仿真软件、数字教材）、精品资源共享课、在线开放课程等。</w:t>
      </w:r>
    </w:p>
    <w:p w14:paraId="2067AF7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4.线上资源</w:t>
      </w:r>
    </w:p>
    <w:p w14:paraId="4D28E7F4">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（1）超星学习通平台</w:t>
      </w:r>
    </w:p>
    <w:p w14:paraId="4201C7F0">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该平台可为全校师生提供在线教学服务，平台具有网上教学组织和管理、网上题库建设、在线考试和阅卷等功能，通过线上教学（学习、答疑、作业、测验等）、速课（微视频）录制、同步课堂、直播教学等相关技术服务，可利用电脑、手机、网络等现有设备开展线上教学活动。平台已无缝对接超星电子图书、电子期刊、学术视频等平台资源，为教师备课、学生拓展学习提供丰富的资源支撑。</w:t>
      </w:r>
    </w:p>
    <w:p w14:paraId="434E2639">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（2）医学慕课</w:t>
      </w:r>
    </w:p>
    <w:p w14:paraId="08FA8019">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医学慕课app是一款医学互动学习的应用软件，是国际先进医学教育理念和现代互联网技术相结合的新型医学教育数字化平台，为广大医学生提供广泛可及的、即时方便的、连续性的学习机会。</w:t>
      </w:r>
    </w:p>
    <w:p w14:paraId="44D19C8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医学慕课以“改善实践的学习”为主要的教学理念，以医学思维和实践训练课程为载体，以互动和思考为主要的学习形式，这里有丰富的课程教学，还有大量的病例库供学生研究参考，方便实用。</w:t>
      </w:r>
    </w:p>
    <w:p w14:paraId="580EE66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（3）人卫慕课</w:t>
      </w:r>
    </w:p>
    <w:p w14:paraId="1DC28874">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作为中国医学教育慕课联盟官方平台，专注医学专业领域在线课程建设与发展。人卫慕课通用平台为各院校医学生提供高质量医学类课程170门，包括临床医学、护理学、药学、中医中药、口腔医学等5大类别。</w:t>
      </w:r>
    </w:p>
    <w:p w14:paraId="66BFFC7E">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43" w:name="_Toc17461"/>
      <w:bookmarkStart w:id="44" w:name="_Toc21451"/>
      <w:r>
        <w:t>（四）教学方法</w:t>
      </w:r>
      <w:bookmarkEnd w:id="43"/>
      <w:bookmarkEnd w:id="44"/>
    </w:p>
    <w:p w14:paraId="7046B887">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对教学应采取的方法提出要求和建议</w:t>
      </w:r>
    </w:p>
    <w:p w14:paraId="7FC97AED">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1.充分体现“课岗训赛证、‘五位一体’”的人才培养模式内涵，实现“课程—岗位—实训—竞赛—证书”全方位融合教学。</w:t>
      </w:r>
    </w:p>
    <w:p w14:paraId="13A53DB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2.课堂教学的组织以行业需求为主线，运用情景模拟、案例教学、角色扮演、头脑风暴等方法。</w:t>
      </w:r>
    </w:p>
    <w:p w14:paraId="3BC2A0B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3.课堂教学借助模型、实物、教学课件等提升学生对知识的感性认识，加强教学实践，通过劳动教育课程，提高学生解决实际问题的能力。</w:t>
      </w:r>
    </w:p>
    <w:p w14:paraId="2F70A3AB">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4.实践教学突出岗位能力本位，开展针对性技能训练，注重职业素养的养成。各类课程均与思想政治理论课同向同行、协同育人。</w:t>
      </w:r>
    </w:p>
    <w:p w14:paraId="467A350B">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5.充分应用信息化教学手段，借助教学平台、综合应用教学资源库，改革教学模式，推进线上线下混合式教学。</w:t>
      </w:r>
    </w:p>
    <w:p w14:paraId="05D9BF7E">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6.通过落实劳动专题教育任务，结合临床实训基地实际情况开设劳动周。</w:t>
      </w:r>
    </w:p>
    <w:p w14:paraId="21A8592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7.除以上教学方法外，三段进阶式人才培养者还需以产教融合为核心，深度对接医疗行业需求，通过校企协同育人，实现教学与临床实践的无缝衔接。各阶段教学方法充分体现产业参与、资源共享与协同创新，具体如下：</w:t>
      </w:r>
    </w:p>
    <w:p w14:paraId="53D65294">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（1）“1.5”基础理论学习阶段：①校企共建混合式教学；②行业导向思维导图教学；③真实场景情景教学​</w:t>
      </w:r>
    </w:p>
    <w:p w14:paraId="2FA94BF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（2）“0.5”实践技能强化阶段：①校企双元理实一体化教学；②产业级临床模拟教学；③企业真实案例教学；④企业项目任务驱动教学；⑤双导师制教学​</w:t>
      </w:r>
    </w:p>
    <w:p w14:paraId="6881798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（3）“1”临床实习阶段：①校企联合跟岗学习；②产学研项目参与；③行业标准反思总结法。​</w:t>
      </w:r>
    </w:p>
    <w:p w14:paraId="7AE98E6F">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45" w:name="_Toc6451"/>
      <w:bookmarkStart w:id="46" w:name="_Toc31416"/>
      <w:r>
        <w:t>（五）学习评价</w:t>
      </w:r>
      <w:bookmarkEnd w:id="45"/>
      <w:bookmarkEnd w:id="46"/>
    </w:p>
    <w:p w14:paraId="0DFCF837">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对学生学习评价的方式方法提出具体要求。</w:t>
      </w:r>
    </w:p>
    <w:p w14:paraId="75A8D9B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1.实施教师评价与学生互评相结合、过程评价与结果评价相结合、课内评价与课外评价相结合、理论评价与实践评价相结合、校内评价与校外评价相结合的评价方式，探索增值性评价。</w:t>
      </w:r>
    </w:p>
    <w:p w14:paraId="115C633F">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2.学生学习的所有课程均应参加考核，考核内容包括素质、知识、能力3方面，使学生的学习成绩客观真实反映学习成效。</w:t>
      </w:r>
    </w:p>
    <w:p w14:paraId="1F1380C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3.必修课考核分为考试和考查2种，各门课程的考核必须按教学大纲的要求进行，跨学期课程按学期分别计算；成绩评定采用百分制，未通过必修课程考核时，可补考1次获取相应学分。</w:t>
      </w:r>
    </w:p>
    <w:p w14:paraId="0BB87EEE">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4.选修课的成绩评定采用合格与不合格制，未通过课程考核时，限定选修课可补考一次获得相应学分；任意选修课可重修1次获取相应学分。</w:t>
      </w:r>
    </w:p>
    <w:p w14:paraId="3825F25C">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5.劳动专题教育18学时，涵盖劳动精神、劳模精神、工匠精神等专题。</w:t>
      </w:r>
    </w:p>
    <w:p w14:paraId="6B1215CB">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6.毕业实习的评定密切联系执业助理医师考试，采用综合评价模式，综合考评通过，并获得考评学分40及以上学分视为实习合格。</w:t>
      </w:r>
    </w:p>
    <w:p w14:paraId="0F5FD3BC">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7.毕业考试科目：1）执业助理医师实践技能模拟考试；2）执业助理医师理论模拟考试（一单元）；3）执业助理医师理论模拟考试（二单元）。</w:t>
      </w:r>
    </w:p>
    <w:p w14:paraId="74C944C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8.评价途径及方法</w:t>
      </w:r>
    </w:p>
    <w:p w14:paraId="27E43B9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为了全面、客观地评价学生的学习情况，我们需要从多个方面进行综合考量。以下是从学习态度与动机、课堂表现与互动、作业完成与质量、测验与考试成绩、学习方法与策略、创新能力与实践、综合素质与特长以及学习进步与反思等方面对学生进行评价。</w:t>
      </w:r>
    </w:p>
    <w:p w14:paraId="5457A357">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1）学习态度与动机</w:t>
      </w:r>
    </w:p>
    <w:p w14:paraId="3AD500B0">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学生对待学习的认真程度，是否积极主动参与学习活动；学习动机是否明确，是否有良好的学习目标和自我驱动力；遇到困难时，学生是否勇于面对，积极寻求解决办法。</w:t>
      </w:r>
    </w:p>
    <w:p w14:paraId="6AC9E51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2）课堂表现与互动</w:t>
      </w:r>
    </w:p>
    <w:p w14:paraId="1AD8735E">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学生在课堂上的注意力集中程度，是否能够积极参与讨论；学生与同学之间的合作与交流能力，是否愿意分享自己的见解；对老师讲解内容的理解和掌握程度，是否能够提出有针对性的问题。</w:t>
      </w:r>
    </w:p>
    <w:p w14:paraId="4F6FDFDF">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3）作业完成与质量</w:t>
      </w:r>
    </w:p>
    <w:p w14:paraId="09CD902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学生是否按时完成作业，对待作业的态度是否认真；作业完成的质量如何，是否能够准确运用所学知识；作业中是否有创新的思考和独特的见解。</w:t>
      </w:r>
    </w:p>
    <w:p w14:paraId="4F0F525C">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4）测验与考试成绩</w:t>
      </w:r>
    </w:p>
    <w:p w14:paraId="51894CDD">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学生在测验和考试中的成绩表现，是否能够反映其学习水平；对错题目的分析和纠正能力，是否能够总结经验教训；在考试过程中，学生的时间管理和应对压力的能力。</w:t>
      </w:r>
    </w:p>
    <w:p w14:paraId="0661E5A9">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5）学习方法与策略</w:t>
      </w:r>
    </w:p>
    <w:p w14:paraId="6053FCF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学生是否掌握有效的学习方法，如归纳总结、复述讲解等；学生如何制定学习计划，并能否按计划执行；学生是否善于利用学习资源，如图书馆、网络等。</w:t>
      </w:r>
    </w:p>
    <w:p w14:paraId="639F50FD">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6）创新能力与实践</w:t>
      </w:r>
    </w:p>
    <w:p w14:paraId="2E2B7EFC">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学生在学习中是否表现出创新思维和解决问题的能力；学生是否积极参与课外实践活动，拓宽自己的视野和经验；学生是否能够将所学知识应用于实际生活中，解决实际问题。</w:t>
      </w:r>
    </w:p>
    <w:p w14:paraId="29C7A7CD">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7）综合素质与特长</w:t>
      </w:r>
    </w:p>
    <w:p w14:paraId="262D21F0">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学生的道德品质、社交能力和团队合作精神；学生的兴趣爱好和特长，是否在某一方面表现出色；学生的身心健康状况，是否具备良好的身心素质。</w:t>
      </w:r>
    </w:p>
    <w:p w14:paraId="3BE06E0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8）学习进步与反思</w:t>
      </w:r>
    </w:p>
    <w:p w14:paraId="3C1A65D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学生是否能够在学习中不断进步，克服自己的不足；学生是否具备自我反思的能力，能够对自己的学习情况进行客观评价；学生是否能够根据反思结果调整自己的学习方法和策略，以实现更好的学习效果。</w:t>
      </w:r>
    </w:p>
    <w:p w14:paraId="4522F2E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（2）对学生学习进行评价的方法多种多样，每种方法都有其独特的适用场景和优势。以下是一些常用的评价方法：</w:t>
      </w:r>
    </w:p>
    <w:p w14:paraId="105466AB">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1）观察法</w:t>
      </w:r>
    </w:p>
    <w:p w14:paraId="0F8239E0">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观察法是一种直观且重要的评价方式。教师可以通过课堂观察来评价学生的学习态度、课堂参与度和互动能力。观察学生在课堂上的表现，包括他们的注意力集中程度、回答问题的积极性、与同学合作的情况等，从而了解学生的学习状况。</w:t>
      </w:r>
    </w:p>
    <w:p w14:paraId="41B95FBB">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2）作业分析法</w:t>
      </w:r>
    </w:p>
    <w:p w14:paraId="7132820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作业分析法是通过分析学生作业的质量、完成度和创新性来评价学生的学习情况。教师可以通过批改作业，观察学生的解题思路、知识掌握程度以及学习进步情况。这种方法能够直接反映学生对课堂内容的理解和掌握程度。</w:t>
      </w:r>
    </w:p>
    <w:p w14:paraId="174B168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3）测验与考试法</w:t>
      </w:r>
    </w:p>
    <w:p w14:paraId="371BFE7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测验与考试是评价学生学习效果的传统方法。通过定期举行测验和考试，可以检测学生对知识的掌握程度和应用能力。测验与考试法具有客观性和可量化性，能够为学生提供一个明确的学习目标和反馈。</w:t>
      </w:r>
    </w:p>
    <w:p w14:paraId="248A7B0F">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4）档案袋评价法</w:t>
      </w:r>
    </w:p>
    <w:p w14:paraId="2A3B114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档案袋评价法是一种注重过程性评价的方法。教师收集学生的作业、反思、学习计划等材料，形成一个记录学生学习过程和成果的档案袋。通过分析档案袋中的内容，可以了解学生的学习进步、学习策略以及创新能力。</w:t>
      </w:r>
    </w:p>
    <w:p w14:paraId="66F38C8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5）自我评价与同伴评价法</w:t>
      </w:r>
    </w:p>
    <w:p w14:paraId="1C7A2AFF">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自我评价与同伴评价法鼓励学生参与到评价过程中。学生可以根据自己的学习情况进行评价，同时也可以评价同伴的学习表现。这种方法有助于培养学生的自我反思能力和合作精神，同时也能够增强学生的责任感和归属感。</w:t>
      </w:r>
    </w:p>
    <w:p w14:paraId="5685AC7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6）问卷调查与访谈法</w:t>
      </w:r>
    </w:p>
    <w:p w14:paraId="4967944E">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通过问卷调查和访谈，教师可以了解学生对学习内容的理解程度、对教学方法的接受程度以及学习中的困难和需求。这种方法能够获取学生的主观感受和建议，有助于教师改进教学方法和评价策略。</w:t>
      </w:r>
    </w:p>
    <w:p w14:paraId="3D37EBB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7）表现性评价法</w:t>
      </w:r>
    </w:p>
    <w:p w14:paraId="73ED5D4D">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表现性评价是通过观察学生在实际情境或模拟情境中完成任务的表现来评价其学习成果的方法。这种方法能够更真实地反映学生的知识应用能力和问题解决能力，有助于培养学生的实践能力和创新精神。</w:t>
      </w:r>
    </w:p>
    <w:p w14:paraId="52197FF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8）除以学习评价说明外，三段进阶式人才培养者在“0.5”阶段采用的学习评价方式为：以岗位胜任力为核心，依托校企双元评价主体，构建“过程+成果+素养”三维评价体系，实现教学标准与行业标准的无缝对接。具体如下：①企业（主导方）：评估岗位技能实操能力（占比60%）及职业素养（纪律/协作/责任心，占比20%），由行业导师及部门负责人评议。②学校（监督方）：定期评估实践报告质量（根据指导教师评分细则来打分，占比10%）及组织阶段性成果答辩（由校企联合答辩委员会评分，占比5%）。③学生（参与方）：记录成长反思与目标达成度，自我评分。</w:t>
      </w:r>
    </w:p>
    <w:p w14:paraId="3C62D859">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47" w:name="_Toc22344"/>
      <w:bookmarkStart w:id="48" w:name="_Toc13079"/>
      <w:r>
        <w:t>（六）质量管理</w:t>
      </w:r>
      <w:bookmarkEnd w:id="47"/>
      <w:bookmarkEnd w:id="48"/>
    </w:p>
    <w:p w14:paraId="115312D1">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学校和二级学院应建立专业建设和教学过程质量监控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02C1D68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2.学校、二级学院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5504740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3.学校应建立毕业生跟踪反馈机制及社会评价机制，并对生源情况、在校生学业水平、毕业生就业情况等进行分析，定期评价人才培养质量和培养目标达成情况。</w:t>
      </w:r>
    </w:p>
    <w:p w14:paraId="349B473E">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4.专业教研组织应充分利用评价分析结果有效改进专业教学、课程建设，持续提高人才培养质量。</w:t>
      </w:r>
    </w:p>
    <w:p w14:paraId="2EADE300">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eastAsia="仿宋"/>
          <w:lang w:eastAsia="zh-CN"/>
        </w:rPr>
      </w:pPr>
      <w:r>
        <w:rPr>
          <w:rFonts w:hint="eastAsia" w:ascii="仿宋" w:hAnsi="仿宋" w:eastAsia="仿宋" w:cs="仿宋"/>
          <w:b w:val="0"/>
          <w:snapToGrid w:val="0"/>
          <w:color w:val="auto"/>
          <w:spacing w:val="8"/>
          <w:kern w:val="0"/>
          <w:sz w:val="28"/>
          <w:szCs w:val="28"/>
          <w:highlight w:val="none"/>
          <w:lang w:val="en-US" w:eastAsia="zh-CN" w:bidi="ar-SA"/>
        </w:rPr>
        <w:t>5.学校成立三年制临床医学专业建设指导委员会，由学校、二级学院、实践教学单位和用人单位组成，根据基层医疗机构需要，实现教学与岗位需求的有机结合，高质量培养适应基层医疗机构所需要和下得去、留得住、用得好的助理全科医生。</w:t>
      </w:r>
    </w:p>
    <w:p w14:paraId="09D474EE">
      <w:pPr>
        <w:pStyle w:val="2"/>
        <w:bidi w:val="0"/>
      </w:pPr>
      <w:bookmarkStart w:id="49" w:name="_Toc15049"/>
      <w:bookmarkStart w:id="50" w:name="_Toc23753"/>
      <w:r>
        <w:t>九、毕业要求</w:t>
      </w:r>
      <w:bookmarkEnd w:id="49"/>
      <w:bookmarkEnd w:id="50"/>
    </w:p>
    <w:p w14:paraId="5BA6E37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en-US" w:bidi="ar-SA"/>
        </w:rPr>
        <w:t>1.修完本专业人才培养方案规定的所有课程，成绩合格；并取得本专业培养方案所规定的最低学分；</w:t>
      </w:r>
    </w:p>
    <w:p w14:paraId="2C710D45">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en-US" w:bidi="ar-SA"/>
        </w:rPr>
        <w:t>2.完成教学见习、下临床前集训与标准化三站式技能考试、毕业实习等实践活动任务，考核合格；</w:t>
      </w:r>
    </w:p>
    <w:p w14:paraId="0816DD0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en-US" w:bidi="ar-SA"/>
        </w:rPr>
        <w:t>3.毕业考试成绩合格；</w:t>
      </w:r>
    </w:p>
    <w:p w14:paraId="7029D13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en-US" w:bidi="ar-SA"/>
        </w:rPr>
        <w:t>4.德、智、体、美、劳五方面审核合格；</w:t>
      </w:r>
    </w:p>
    <w:p w14:paraId="0F4B56D7">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en-US" w:bidi="ar-SA"/>
        </w:rPr>
        <w:t>5.推进落实“1+X”证书制度</w:t>
      </w:r>
      <w:r>
        <w:rPr>
          <w:rFonts w:hint="eastAsia" w:ascii="仿宋" w:hAnsi="仿宋" w:eastAsia="仿宋" w:cs="仿宋"/>
          <w:b w:val="0"/>
          <w:snapToGrid w:val="0"/>
          <w:color w:val="auto"/>
          <w:spacing w:val="8"/>
          <w:kern w:val="0"/>
          <w:sz w:val="28"/>
          <w:szCs w:val="28"/>
          <w:highlight w:val="none"/>
          <w:lang w:val="en-US" w:eastAsia="zh-CN" w:bidi="ar-SA"/>
        </w:rPr>
        <w:t>，</w:t>
      </w:r>
      <w:r>
        <w:rPr>
          <w:rFonts w:hint="eastAsia" w:ascii="仿宋" w:hAnsi="仿宋" w:eastAsia="仿宋" w:cs="仿宋"/>
          <w:b w:val="0"/>
          <w:snapToGrid w:val="0"/>
          <w:color w:val="auto"/>
          <w:spacing w:val="8"/>
          <w:kern w:val="0"/>
          <w:sz w:val="28"/>
          <w:szCs w:val="28"/>
          <w:highlight w:val="none"/>
          <w:lang w:val="en-US" w:eastAsia="en-US" w:bidi="ar-SA"/>
        </w:rPr>
        <w:t>要求学生考取英语等级证书、计算机等级证书、普通话水平等级证书、执业资格证书等职业技能等级证书。</w:t>
      </w:r>
    </w:p>
    <w:p w14:paraId="32B36F7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6.合作班应完成相关合作企业的技能考核，取得相应的合格证书。</w:t>
      </w:r>
    </w:p>
    <w:p w14:paraId="32EFD1AF">
      <w:pPr>
        <w:pStyle w:val="2"/>
        <w:bidi w:val="0"/>
      </w:pPr>
      <w:bookmarkStart w:id="51" w:name="_Toc30778"/>
      <w:bookmarkStart w:id="52" w:name="_Toc20084"/>
      <w:r>
        <w:t>十、附录</w:t>
      </w:r>
      <w:bookmarkEnd w:id="51"/>
      <w:bookmarkEnd w:id="52"/>
    </w:p>
    <w:p w14:paraId="7FCA439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1.</w:t>
      </w:r>
      <w:r>
        <w:rPr>
          <w:rFonts w:hint="eastAsia" w:ascii="仿宋" w:hAnsi="仿宋" w:eastAsia="仿宋" w:cs="仿宋"/>
          <w:b w:val="0"/>
          <w:snapToGrid w:val="0"/>
          <w:color w:val="auto"/>
          <w:spacing w:val="8"/>
          <w:kern w:val="0"/>
          <w:sz w:val="28"/>
          <w:szCs w:val="28"/>
          <w:highlight w:val="none"/>
          <w:lang w:val="en-US" w:eastAsia="en-US" w:bidi="ar-SA"/>
        </w:rPr>
        <w:t>微专业</w:t>
      </w:r>
      <w:r>
        <w:rPr>
          <w:rFonts w:hint="eastAsia" w:ascii="仿宋" w:hAnsi="仿宋" w:eastAsia="仿宋" w:cs="仿宋"/>
          <w:b w:val="0"/>
          <w:snapToGrid w:val="0"/>
          <w:color w:val="auto"/>
          <w:spacing w:val="8"/>
          <w:kern w:val="0"/>
          <w:sz w:val="28"/>
          <w:szCs w:val="28"/>
          <w:highlight w:val="none"/>
          <w:lang w:val="en-US" w:eastAsia="zh-CN" w:bidi="ar-SA"/>
        </w:rPr>
        <w:t>介绍</w:t>
      </w:r>
    </w:p>
    <w:p w14:paraId="3B9FDF2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微专业一：婴幼儿健康养育管理与服务</w:t>
      </w:r>
    </w:p>
    <w:p w14:paraId="593DDDD8">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该微专业聚焦婴幼儿生长发育监测、疾病预防、科学喂养及日常照护技能，普及合理膳食及营养学知识，培养能精准守护婴幼儿健康、提供专业养育指导的跨学科协作临床人才。主要课程有《婴幼儿生长发育与心理健康发展》《婴幼儿早期教育与亲子互动》等，共计30学时。</w:t>
      </w:r>
    </w:p>
    <w:p w14:paraId="4EF560B4">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微专业二：健康大数据管理</w:t>
      </w:r>
    </w:p>
    <w:p w14:paraId="71A3CCD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该微专业融合医学、信息技术、统计学与管理学知识，培养掌握健康数据采集、清洗、分析及可视化技能，能在医疗、健康机构任职的复合型人才，助力智慧医疗与精准健康服务发展。主要课程有《医学信息技术》《卫生健康数据统计》等，共计30学时。</w:t>
      </w:r>
    </w:p>
    <w:p w14:paraId="48E7EC5A">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default" w:ascii="仿宋" w:hAnsi="仿宋" w:eastAsia="仿宋" w:cs="仿宋"/>
          <w:b w:val="0"/>
          <w:snapToGrid w:val="0"/>
          <w:color w:val="auto"/>
          <w:spacing w:val="8"/>
          <w:kern w:val="0"/>
          <w:sz w:val="28"/>
          <w:szCs w:val="28"/>
          <w:highlight w:val="none"/>
          <w:lang w:val="en-US" w:eastAsia="zh-CN" w:bidi="ar-SA"/>
        </w:rPr>
      </w:pPr>
      <w:r>
        <w:rPr>
          <w:rFonts w:hint="eastAsia" w:ascii="仿宋" w:hAnsi="仿宋" w:eastAsia="仿宋" w:cs="仿宋"/>
          <w:b w:val="0"/>
          <w:snapToGrid w:val="0"/>
          <w:color w:val="auto"/>
          <w:spacing w:val="8"/>
          <w:kern w:val="0"/>
          <w:sz w:val="28"/>
          <w:szCs w:val="28"/>
          <w:highlight w:val="none"/>
          <w:lang w:val="en-US" w:eastAsia="zh-CN" w:bidi="ar-SA"/>
        </w:rPr>
        <w:t>微专业三：临床医学基层医疗医学影像诊断基础</w:t>
      </w:r>
    </w:p>
    <w:p w14:paraId="0A442763">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default" w:ascii="仿宋" w:hAnsi="仿宋" w:eastAsia="仿宋" w:cs="仿宋"/>
          <w:b w:val="0"/>
          <w:snapToGrid w:val="0"/>
          <w:color w:val="auto"/>
          <w:spacing w:val="8"/>
          <w:kern w:val="0"/>
          <w:sz w:val="28"/>
          <w:szCs w:val="28"/>
          <w:highlight w:val="none"/>
          <w:lang w:val="en-US" w:eastAsia="zh-CN" w:bidi="ar-SA"/>
        </w:rPr>
      </w:pPr>
      <w:r>
        <w:rPr>
          <w:rFonts w:hint="default" w:ascii="仿宋" w:hAnsi="仿宋" w:eastAsia="仿宋" w:cs="仿宋"/>
          <w:b w:val="0"/>
          <w:snapToGrid w:val="0"/>
          <w:color w:val="auto"/>
          <w:spacing w:val="8"/>
          <w:kern w:val="0"/>
          <w:sz w:val="28"/>
          <w:szCs w:val="28"/>
          <w:highlight w:val="none"/>
          <w:lang w:val="en-US" w:eastAsia="zh-CN" w:bidi="ar-SA"/>
        </w:rPr>
        <w:t>该微专业融合临床医学、基层全科、医学影像技术与常见病诊疗知识，培养掌握基础影像阅片、常见病症影像识别、基层影像设备规范操作技能，能在乡镇卫生院、社区卫生服务中心任职的基层复合型医务人才，助力分级诊疗与基层便捷影像筛查服务落地。主要课程有《临床医学基础》《基层常见疾病影像诊断》等，共计30学时。</w:t>
      </w:r>
    </w:p>
    <w:p w14:paraId="5B5C8B36">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zh-CN" w:bidi="ar-SA"/>
        </w:rPr>
        <w:t>2.</w:t>
      </w:r>
      <w:r>
        <w:rPr>
          <w:rFonts w:hint="eastAsia" w:ascii="仿宋" w:hAnsi="仿宋" w:eastAsia="仿宋" w:cs="仿宋"/>
          <w:b w:val="0"/>
          <w:snapToGrid w:val="0"/>
          <w:color w:val="auto"/>
          <w:spacing w:val="8"/>
          <w:kern w:val="0"/>
          <w:sz w:val="28"/>
          <w:szCs w:val="28"/>
          <w:highlight w:val="none"/>
          <w:lang w:val="en-US" w:eastAsia="en-US" w:bidi="ar-SA"/>
        </w:rPr>
        <w:t>甘肃卫生职业学院</w:t>
      </w:r>
      <w:r>
        <w:rPr>
          <w:rFonts w:hint="eastAsia" w:ascii="仿宋" w:hAnsi="仿宋" w:eastAsia="仿宋" w:cs="仿宋"/>
          <w:b w:val="0"/>
          <w:snapToGrid w:val="0"/>
          <w:color w:val="auto"/>
          <w:spacing w:val="8"/>
          <w:kern w:val="0"/>
          <w:sz w:val="28"/>
          <w:szCs w:val="28"/>
          <w:highlight w:val="none"/>
          <w:lang w:val="en-US" w:eastAsia="zh-CN" w:bidi="ar-SA"/>
        </w:rPr>
        <w:t>临床医学</w:t>
      </w:r>
      <w:r>
        <w:rPr>
          <w:rFonts w:hint="eastAsia" w:ascii="仿宋" w:hAnsi="仿宋" w:eastAsia="仿宋" w:cs="仿宋"/>
          <w:b w:val="0"/>
          <w:snapToGrid w:val="0"/>
          <w:color w:val="auto"/>
          <w:spacing w:val="8"/>
          <w:kern w:val="0"/>
          <w:sz w:val="28"/>
          <w:szCs w:val="28"/>
          <w:highlight w:val="none"/>
          <w:lang w:val="en-US" w:eastAsia="en-US" w:bidi="ar-SA"/>
        </w:rPr>
        <w:t>专业人才培养方案论证意见表</w:t>
      </w:r>
    </w:p>
    <w:p w14:paraId="5F01DCBC">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r>
        <w:rPr>
          <w:rFonts w:hint="eastAsia" w:ascii="仿宋" w:hAnsi="仿宋" w:eastAsia="仿宋" w:cs="仿宋"/>
          <w:b w:val="0"/>
          <w:snapToGrid w:val="0"/>
          <w:color w:val="auto"/>
          <w:spacing w:val="8"/>
          <w:kern w:val="0"/>
          <w:sz w:val="28"/>
          <w:szCs w:val="28"/>
          <w:highlight w:val="none"/>
          <w:lang w:val="en-US" w:eastAsia="zh-CN" w:bidi="ar-SA"/>
        </w:rPr>
        <w:t>3.</w:t>
      </w:r>
      <w:r>
        <w:rPr>
          <w:rFonts w:hint="eastAsia" w:ascii="仿宋" w:hAnsi="仿宋" w:eastAsia="仿宋" w:cs="仿宋"/>
          <w:b w:val="0"/>
          <w:snapToGrid w:val="0"/>
          <w:color w:val="auto"/>
          <w:spacing w:val="8"/>
          <w:kern w:val="0"/>
          <w:sz w:val="28"/>
          <w:szCs w:val="28"/>
          <w:highlight w:val="none"/>
          <w:lang w:val="en-US" w:eastAsia="en-US" w:bidi="ar-SA"/>
        </w:rPr>
        <w:t>甘肃卫生职业学院</w:t>
      </w:r>
      <w:r>
        <w:rPr>
          <w:rFonts w:hint="eastAsia" w:ascii="仿宋" w:hAnsi="仿宋" w:eastAsia="仿宋" w:cs="仿宋"/>
          <w:b w:val="0"/>
          <w:snapToGrid w:val="0"/>
          <w:color w:val="auto"/>
          <w:spacing w:val="8"/>
          <w:kern w:val="0"/>
          <w:sz w:val="28"/>
          <w:szCs w:val="28"/>
          <w:highlight w:val="none"/>
          <w:lang w:val="en-US" w:eastAsia="zh-CN" w:bidi="ar-SA"/>
        </w:rPr>
        <w:t>临床医学</w:t>
      </w:r>
      <w:r>
        <w:rPr>
          <w:rFonts w:hint="eastAsia" w:ascii="仿宋" w:hAnsi="仿宋" w:eastAsia="仿宋" w:cs="仿宋"/>
          <w:b w:val="0"/>
          <w:snapToGrid w:val="0"/>
          <w:color w:val="auto"/>
          <w:spacing w:val="8"/>
          <w:kern w:val="0"/>
          <w:sz w:val="28"/>
          <w:szCs w:val="28"/>
          <w:highlight w:val="none"/>
          <w:lang w:val="en-US" w:eastAsia="en-US" w:bidi="ar-SA"/>
        </w:rPr>
        <w:t>专业人才培养方案审批表</w:t>
      </w:r>
    </w:p>
    <w:p w14:paraId="746775F2">
      <w:pPr>
        <w:keepNext w:val="0"/>
        <w:keepLines w:val="0"/>
        <w:widowControl/>
        <w:numPr>
          <w:ilvl w:val="0"/>
          <w:numId w:val="0"/>
        </w:numPr>
        <w:suppressLineNumbers w:val="0"/>
        <w:pBdr>
          <w:left w:val="none" w:color="auto" w:sz="0" w:space="0"/>
        </w:pBdr>
        <w:spacing w:before="0" w:beforeAutospacing="0" w:after="0" w:afterAutospacing="0" w:line="360" w:lineRule="auto"/>
        <w:ind w:left="0" w:leftChars="0" w:firstLine="592" w:firstLineChars="200"/>
        <w:jc w:val="left"/>
        <w:rPr>
          <w:rFonts w:hint="eastAsia" w:ascii="仿宋" w:hAnsi="仿宋" w:eastAsia="仿宋" w:cs="仿宋"/>
          <w:b w:val="0"/>
          <w:snapToGrid w:val="0"/>
          <w:color w:val="auto"/>
          <w:spacing w:val="8"/>
          <w:kern w:val="0"/>
          <w:sz w:val="28"/>
          <w:szCs w:val="28"/>
          <w:highlight w:val="none"/>
          <w:lang w:val="en-US" w:eastAsia="en-US" w:bidi="ar-SA"/>
        </w:rPr>
      </w:pPr>
    </w:p>
    <w:p w14:paraId="0477D91D">
      <w:pPr>
        <w:pStyle w:val="5"/>
        <w:spacing w:before="57" w:line="318" w:lineRule="auto"/>
        <w:ind w:left="671" w:hanging="2"/>
        <w:rPr>
          <w:spacing w:val="6"/>
        </w:rPr>
      </w:pPr>
    </w:p>
    <w:p w14:paraId="0F8F17B7">
      <w:pPr>
        <w:pStyle w:val="5"/>
        <w:spacing w:before="57" w:line="318" w:lineRule="auto"/>
        <w:ind w:left="671" w:hanging="2"/>
        <w:rPr>
          <w:spacing w:val="6"/>
        </w:rPr>
      </w:pPr>
    </w:p>
    <w:p w14:paraId="29D4E5FE">
      <w:pPr>
        <w:spacing w:line="267" w:lineRule="auto"/>
        <w:rPr>
          <w:rFonts w:ascii="Arial"/>
          <w:sz w:val="21"/>
        </w:rPr>
      </w:pPr>
    </w:p>
    <w:p w14:paraId="5308586E">
      <w:pPr>
        <w:spacing w:line="268" w:lineRule="auto"/>
        <w:rPr>
          <w:rFonts w:ascii="Arial"/>
          <w:sz w:val="21"/>
        </w:rPr>
      </w:pPr>
    </w:p>
    <w:p w14:paraId="3435478F">
      <w:pPr>
        <w:pStyle w:val="5"/>
        <w:spacing w:before="102" w:line="317" w:lineRule="auto"/>
        <w:ind w:right="1906"/>
        <w:jc w:val="right"/>
        <w:rPr>
          <w:rFonts w:hint="default" w:eastAsia="仿宋"/>
          <w:spacing w:val="2"/>
          <w:lang w:val="en-US" w:eastAsia="zh-CN"/>
        </w:rPr>
      </w:pPr>
      <w:r>
        <w:rPr>
          <w:rFonts w:hint="eastAsia"/>
          <w:spacing w:val="-15"/>
          <w:lang w:val="en-US" w:eastAsia="zh-CN"/>
        </w:rPr>
        <w:t xml:space="preserve">    </w:t>
      </w:r>
      <w:r>
        <w:rPr>
          <w:spacing w:val="-15"/>
        </w:rPr>
        <w:t>执笔人：</w:t>
      </w:r>
      <w:r>
        <w:rPr>
          <w:rFonts w:hint="eastAsia"/>
          <w:spacing w:val="-15"/>
          <w:lang w:val="en-US" w:eastAsia="zh-CN"/>
        </w:rPr>
        <w:t>李晓寅、李日成</w:t>
      </w:r>
    </w:p>
    <w:p w14:paraId="66A57FD5">
      <w:pPr>
        <w:pStyle w:val="5"/>
        <w:spacing w:before="102" w:line="317" w:lineRule="auto"/>
        <w:ind w:right="1906"/>
        <w:jc w:val="right"/>
        <w:rPr>
          <w:rFonts w:hint="default" w:eastAsia="仿宋"/>
          <w:lang w:val="en-US" w:eastAsia="zh-CN"/>
        </w:rPr>
      </w:pPr>
      <w:r>
        <w:rPr>
          <w:rFonts w:hint="eastAsia"/>
          <w:spacing w:val="-21"/>
          <w:lang w:val="en-US" w:eastAsia="zh-CN"/>
        </w:rPr>
        <w:t xml:space="preserve">    </w:t>
      </w:r>
      <w:r>
        <w:rPr>
          <w:spacing w:val="-21"/>
        </w:rPr>
        <w:t>审核人：</w:t>
      </w:r>
      <w:r>
        <w:rPr>
          <w:rFonts w:hint="eastAsia"/>
          <w:spacing w:val="-21"/>
          <w:lang w:val="en-US" w:eastAsia="zh-CN"/>
        </w:rPr>
        <w:t>寇桂香、徐银娟</w:t>
      </w:r>
    </w:p>
    <w:p w14:paraId="78EC63CC">
      <w:pPr>
        <w:pStyle w:val="5"/>
        <w:spacing w:before="102" w:line="317" w:lineRule="auto"/>
        <w:ind w:right="1906"/>
        <w:jc w:val="right"/>
        <w:rPr>
          <w:rFonts w:hint="eastAsia"/>
          <w:spacing w:val="-15"/>
          <w:lang w:val="en-US" w:eastAsia="zh-CN"/>
        </w:rPr>
      </w:pPr>
      <w:r>
        <w:rPr>
          <w:rFonts w:hint="eastAsia"/>
          <w:spacing w:val="-15"/>
          <w:lang w:val="en-US" w:eastAsia="zh-CN"/>
        </w:rPr>
        <w:t xml:space="preserve">        制（修）订时间：2026年6月</w:t>
      </w:r>
    </w:p>
    <w:p w14:paraId="2099A281">
      <w:pPr>
        <w:pStyle w:val="5"/>
        <w:spacing w:before="102" w:line="317" w:lineRule="auto"/>
        <w:ind w:right="1906"/>
        <w:jc w:val="right"/>
        <w:rPr>
          <w:rFonts w:hint="eastAsia"/>
          <w:spacing w:val="-15"/>
          <w:lang w:val="en-US" w:eastAsia="zh-CN"/>
        </w:rPr>
      </w:pPr>
    </w:p>
    <w:p w14:paraId="384EAA6C">
      <w:pPr>
        <w:spacing w:line="227" w:lineRule="auto"/>
      </w:pPr>
    </w:p>
    <w:p w14:paraId="514ADDAC">
      <w:pPr>
        <w:spacing w:line="227" w:lineRule="auto"/>
        <w:rPr>
          <w:rFonts w:hint="eastAsia"/>
          <w:spacing w:val="-1"/>
          <w:lang w:val="en-US" w:eastAsia="zh-CN"/>
        </w:rPr>
      </w:pPr>
    </w:p>
    <w:p w14:paraId="0A773757">
      <w:pPr>
        <w:spacing w:line="271" w:lineRule="auto"/>
        <w:rPr>
          <w:rFonts w:ascii="Arial"/>
          <w:sz w:val="21"/>
        </w:rPr>
      </w:pPr>
    </w:p>
    <w:p w14:paraId="01D79787">
      <w:pPr>
        <w:spacing w:line="271" w:lineRule="auto"/>
        <w:rPr>
          <w:rFonts w:ascii="Arial"/>
          <w:sz w:val="21"/>
        </w:rPr>
      </w:pPr>
    </w:p>
    <w:p w14:paraId="0565F00C">
      <w:pPr>
        <w:spacing w:line="271" w:lineRule="auto"/>
        <w:rPr>
          <w:rFonts w:ascii="Arial"/>
          <w:sz w:val="21"/>
        </w:rPr>
      </w:pPr>
    </w:p>
    <w:p w14:paraId="32FB4034">
      <w:pPr>
        <w:spacing w:line="271" w:lineRule="auto"/>
        <w:rPr>
          <w:rFonts w:ascii="Arial"/>
          <w:sz w:val="21"/>
        </w:rPr>
      </w:pPr>
    </w:p>
    <w:p w14:paraId="51BD2249">
      <w:pPr>
        <w:spacing w:line="271" w:lineRule="auto"/>
        <w:rPr>
          <w:rFonts w:ascii="Arial"/>
          <w:sz w:val="21"/>
        </w:rPr>
      </w:pPr>
    </w:p>
    <w:p w14:paraId="4390EA4E">
      <w:pPr>
        <w:spacing w:line="271" w:lineRule="auto"/>
        <w:rPr>
          <w:rFonts w:ascii="Arial"/>
          <w:sz w:val="21"/>
        </w:rPr>
      </w:pPr>
    </w:p>
    <w:p w14:paraId="58AF70B4">
      <w:pPr>
        <w:spacing w:line="271" w:lineRule="auto"/>
        <w:rPr>
          <w:rFonts w:ascii="Arial"/>
          <w:sz w:val="21"/>
        </w:rPr>
      </w:pPr>
    </w:p>
    <w:p w14:paraId="26A1D399">
      <w:pPr>
        <w:rPr>
          <w:rFonts w:ascii="Arial"/>
          <w:sz w:val="21"/>
        </w:rPr>
      </w:pPr>
    </w:p>
    <w:p w14:paraId="10BB1C79">
      <w:pPr>
        <w:rPr>
          <w:rFonts w:ascii="Arial"/>
          <w:sz w:val="21"/>
        </w:rPr>
      </w:pPr>
    </w:p>
    <w:p w14:paraId="5663F9CC">
      <w:pPr>
        <w:rPr>
          <w:rFonts w:ascii="Arial"/>
          <w:sz w:val="21"/>
        </w:rPr>
      </w:pPr>
    </w:p>
    <w:p w14:paraId="427FD2C7">
      <w:pPr>
        <w:rPr>
          <w:rFonts w:ascii="Arial"/>
          <w:sz w:val="21"/>
        </w:rPr>
      </w:pPr>
    </w:p>
    <w:p w14:paraId="40607EE2">
      <w:pPr>
        <w:rPr>
          <w:rFonts w:ascii="Arial"/>
          <w:sz w:val="21"/>
        </w:rPr>
      </w:pPr>
    </w:p>
    <w:p w14:paraId="155247A5">
      <w:pPr>
        <w:rPr>
          <w:rFonts w:ascii="Arial"/>
          <w:sz w:val="21"/>
        </w:rPr>
      </w:pPr>
    </w:p>
    <w:p w14:paraId="0F822EF4">
      <w:pPr>
        <w:adjustRightInd/>
        <w:snapToGrid/>
        <w:spacing w:after="120" w:afterLines="50" w:line="240" w:lineRule="auto"/>
        <w:jc w:val="center"/>
        <w:rPr>
          <w:rFonts w:hint="eastAsia" w:ascii="宋体" w:hAnsi="宋体" w:eastAsia="宋体" w:cs="仿宋"/>
          <w:b/>
          <w:bCs/>
          <w:color w:val="auto"/>
          <w:kern w:val="0"/>
          <w:sz w:val="44"/>
          <w:szCs w:val="44"/>
          <w:highlight w:val="none"/>
          <w:lang w:val="en-US" w:eastAsia="zh-CN"/>
        </w:rPr>
      </w:pPr>
      <w:r>
        <w:rPr>
          <w:rFonts w:hint="eastAsia" w:ascii="宋体" w:hAnsi="宋体" w:eastAsia="宋体" w:cs="仿宋"/>
          <w:b/>
          <w:bCs/>
          <w:color w:val="auto"/>
          <w:kern w:val="0"/>
          <w:sz w:val="44"/>
          <w:szCs w:val="44"/>
          <w:highlight w:val="none"/>
          <w:lang w:eastAsia="zh-CN"/>
        </w:rPr>
        <w:t>《</w:t>
      </w:r>
      <w:r>
        <w:rPr>
          <w:rFonts w:hint="eastAsia" w:ascii="宋体" w:hAnsi="宋体" w:eastAsia="宋体" w:cs="仿宋"/>
          <w:b/>
          <w:bCs/>
          <w:color w:val="auto"/>
          <w:kern w:val="0"/>
          <w:sz w:val="44"/>
          <w:szCs w:val="44"/>
          <w:highlight w:val="none"/>
          <w:lang w:val="en-US" w:eastAsia="zh-CN"/>
        </w:rPr>
        <w:t>婴幼儿健康养育管理与服务</w:t>
      </w:r>
      <w:r>
        <w:rPr>
          <w:rFonts w:hint="eastAsia" w:ascii="宋体" w:hAnsi="宋体" w:eastAsia="宋体" w:cs="仿宋"/>
          <w:b/>
          <w:bCs/>
          <w:color w:val="auto"/>
          <w:kern w:val="0"/>
          <w:sz w:val="44"/>
          <w:szCs w:val="44"/>
          <w:highlight w:val="none"/>
          <w:lang w:eastAsia="zh-CN"/>
        </w:rPr>
        <w:t>》</w:t>
      </w:r>
      <w:r>
        <w:rPr>
          <w:rFonts w:hint="eastAsia" w:ascii="宋体" w:hAnsi="宋体" w:eastAsia="宋体" w:cs="仿宋"/>
          <w:b/>
          <w:bCs/>
          <w:color w:val="auto"/>
          <w:kern w:val="0"/>
          <w:sz w:val="44"/>
          <w:szCs w:val="44"/>
          <w:highlight w:val="none"/>
          <w:lang w:val="en-US" w:eastAsia="zh-CN"/>
        </w:rPr>
        <w:t>微专业</w:t>
      </w:r>
    </w:p>
    <w:p w14:paraId="7E5DEE91">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32"/>
        </w:rPr>
      </w:pPr>
      <w:r>
        <w:rPr>
          <w:rFonts w:hint="eastAsia" w:ascii="宋体" w:hAnsi="宋体" w:eastAsia="宋体" w:cs="宋体"/>
          <w:b/>
          <w:bCs/>
          <w:sz w:val="24"/>
          <w:szCs w:val="32"/>
          <w:lang w:val="en-US" w:eastAsia="zh-CN"/>
        </w:rPr>
        <w:t>一、</w:t>
      </w:r>
      <w:r>
        <w:rPr>
          <w:rFonts w:hint="eastAsia" w:ascii="宋体" w:hAnsi="宋体" w:eastAsia="宋体" w:cs="宋体"/>
          <w:b/>
          <w:bCs/>
          <w:sz w:val="24"/>
          <w:szCs w:val="32"/>
        </w:rPr>
        <w:t>教学目标</w:t>
      </w:r>
    </w:p>
    <w:p w14:paraId="48B76627">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w:t>
      </w:r>
      <w:r>
        <w:rPr>
          <w:rFonts w:hint="eastAsia" w:ascii="仿宋" w:hAnsi="仿宋" w:eastAsia="仿宋" w:cs="仿宋"/>
          <w:b w:val="0"/>
          <w:color w:val="auto"/>
          <w:kern w:val="0"/>
          <w:sz w:val="28"/>
          <w:szCs w:val="28"/>
          <w:highlight w:val="none"/>
          <w:lang w:val="en-US" w:eastAsia="zh-CN"/>
        </w:rPr>
        <w:t>一</w:t>
      </w:r>
      <w:r>
        <w:rPr>
          <w:rFonts w:hint="eastAsia" w:ascii="仿宋" w:hAnsi="仿宋" w:eastAsia="仿宋" w:cs="仿宋"/>
          <w:b w:val="0"/>
          <w:color w:val="auto"/>
          <w:kern w:val="0"/>
          <w:sz w:val="28"/>
          <w:szCs w:val="28"/>
          <w:highlight w:val="none"/>
          <w:lang w:eastAsia="zh-CN"/>
        </w:rPr>
        <w:t>）知识目标</w:t>
      </w:r>
    </w:p>
    <w:p w14:paraId="01E4E330">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val="en-US" w:eastAsia="zh-CN"/>
        </w:rPr>
        <w:t>1.掌握婴幼儿生理发育规律与健康指标、</w:t>
      </w:r>
      <w:r>
        <w:rPr>
          <w:rFonts w:hint="default" w:ascii="仿宋" w:hAnsi="仿宋" w:eastAsia="仿宋" w:cs="仿宋"/>
          <w:b w:val="0"/>
          <w:color w:val="auto"/>
          <w:kern w:val="0"/>
          <w:sz w:val="28"/>
          <w:szCs w:val="28"/>
          <w:highlight w:val="none"/>
          <w:lang w:val="en-US" w:eastAsia="zh-CN"/>
        </w:rPr>
        <w:t>婴幼儿营养需求与科学喂养原则</w:t>
      </w:r>
      <w:r>
        <w:rPr>
          <w:rFonts w:hint="eastAsia" w:ascii="仿宋" w:hAnsi="仿宋" w:eastAsia="仿宋" w:cs="仿宋"/>
          <w:b w:val="0"/>
          <w:color w:val="auto"/>
          <w:kern w:val="0"/>
          <w:sz w:val="28"/>
          <w:szCs w:val="28"/>
          <w:highlight w:val="none"/>
          <w:lang w:val="en-US" w:eastAsia="zh-CN"/>
        </w:rPr>
        <w:t>；</w:t>
      </w:r>
      <w:r>
        <w:rPr>
          <w:rFonts w:hint="default" w:ascii="仿宋" w:hAnsi="仿宋" w:eastAsia="仿宋" w:cs="仿宋"/>
          <w:b w:val="0"/>
          <w:color w:val="auto"/>
          <w:kern w:val="0"/>
          <w:sz w:val="28"/>
          <w:szCs w:val="28"/>
          <w:highlight w:val="none"/>
          <w:lang w:val="en-US" w:eastAsia="zh-CN"/>
        </w:rPr>
        <w:t>熟悉常见疾病预防与应急处理知识</w:t>
      </w:r>
      <w:r>
        <w:rPr>
          <w:rFonts w:hint="eastAsia" w:ascii="仿宋" w:hAnsi="仿宋" w:eastAsia="仿宋" w:cs="仿宋"/>
          <w:b w:val="0"/>
          <w:color w:val="auto"/>
          <w:kern w:val="0"/>
          <w:sz w:val="28"/>
          <w:szCs w:val="28"/>
          <w:highlight w:val="none"/>
          <w:lang w:val="en-US" w:eastAsia="zh-CN"/>
        </w:rPr>
        <w:t>。</w:t>
      </w:r>
      <w:r>
        <w:rPr>
          <w:rFonts w:hint="default" w:ascii="仿宋" w:hAnsi="仿宋" w:eastAsia="仿宋" w:cs="仿宋"/>
          <w:b w:val="0"/>
          <w:color w:val="auto"/>
          <w:kern w:val="0"/>
          <w:sz w:val="28"/>
          <w:szCs w:val="28"/>
          <w:highlight w:val="none"/>
          <w:lang w:val="en-US" w:eastAsia="zh-CN"/>
        </w:rPr>
        <w:br w:type="textWrapping"/>
      </w:r>
      <w:r>
        <w:rPr>
          <w:rFonts w:hint="eastAsia" w:ascii="仿宋" w:hAnsi="仿宋" w:eastAsia="仿宋" w:cs="仿宋"/>
          <w:b w:val="0"/>
          <w:color w:val="auto"/>
          <w:kern w:val="0"/>
          <w:sz w:val="28"/>
          <w:szCs w:val="28"/>
          <w:highlight w:val="none"/>
          <w:lang w:val="en-US" w:eastAsia="zh-CN"/>
        </w:rPr>
        <w:t xml:space="preserve">    2.</w:t>
      </w:r>
      <w:r>
        <w:rPr>
          <w:rFonts w:hint="default" w:ascii="仿宋" w:hAnsi="仿宋" w:eastAsia="仿宋" w:cs="仿宋"/>
          <w:b w:val="0"/>
          <w:color w:val="auto"/>
          <w:kern w:val="0"/>
          <w:sz w:val="28"/>
          <w:szCs w:val="28"/>
          <w:highlight w:val="none"/>
          <w:lang w:val="en-US" w:eastAsia="zh-CN"/>
        </w:rPr>
        <w:t>掌握早期发展促进的理论基础</w:t>
      </w:r>
      <w:r>
        <w:rPr>
          <w:rFonts w:hint="eastAsia" w:ascii="仿宋" w:hAnsi="仿宋" w:eastAsia="仿宋" w:cs="仿宋"/>
          <w:b w:val="0"/>
          <w:color w:val="auto"/>
          <w:kern w:val="0"/>
          <w:sz w:val="28"/>
          <w:szCs w:val="28"/>
          <w:highlight w:val="none"/>
          <w:lang w:val="en-US" w:eastAsia="zh-CN"/>
        </w:rPr>
        <w:t>，</w:t>
      </w:r>
      <w:r>
        <w:rPr>
          <w:rFonts w:hint="default" w:ascii="仿宋" w:hAnsi="仿宋" w:eastAsia="仿宋" w:cs="仿宋"/>
          <w:b w:val="0"/>
          <w:color w:val="auto"/>
          <w:kern w:val="0"/>
          <w:sz w:val="28"/>
          <w:szCs w:val="28"/>
          <w:highlight w:val="none"/>
          <w:lang w:val="en-US" w:eastAsia="zh-CN"/>
        </w:rPr>
        <w:t>了解婴幼儿安全防护与养育环境创设规范</w:t>
      </w:r>
      <w:r>
        <w:rPr>
          <w:rFonts w:hint="eastAsia" w:ascii="仿宋" w:hAnsi="仿宋" w:eastAsia="仿宋" w:cs="仿宋"/>
          <w:b w:val="0"/>
          <w:color w:val="auto"/>
          <w:kern w:val="0"/>
          <w:sz w:val="28"/>
          <w:szCs w:val="28"/>
          <w:highlight w:val="none"/>
          <w:lang w:val="en-US" w:eastAsia="zh-CN"/>
        </w:rPr>
        <w:t>。</w:t>
      </w:r>
    </w:p>
    <w:p w14:paraId="1E8E836F">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w:t>
      </w:r>
      <w:r>
        <w:rPr>
          <w:rFonts w:hint="eastAsia" w:ascii="仿宋" w:hAnsi="仿宋" w:eastAsia="仿宋" w:cs="仿宋"/>
          <w:b w:val="0"/>
          <w:color w:val="auto"/>
          <w:kern w:val="0"/>
          <w:sz w:val="28"/>
          <w:szCs w:val="28"/>
          <w:highlight w:val="none"/>
          <w:lang w:val="en-US" w:eastAsia="zh-CN"/>
        </w:rPr>
        <w:t>二</w:t>
      </w:r>
      <w:r>
        <w:rPr>
          <w:rFonts w:hint="eastAsia" w:ascii="仿宋" w:hAnsi="仿宋" w:eastAsia="仿宋" w:cs="仿宋"/>
          <w:b w:val="0"/>
          <w:color w:val="auto"/>
          <w:kern w:val="0"/>
          <w:sz w:val="28"/>
          <w:szCs w:val="28"/>
          <w:highlight w:val="none"/>
          <w:lang w:eastAsia="zh-CN"/>
        </w:rPr>
        <w:t>）技能目标</w:t>
      </w:r>
    </w:p>
    <w:p w14:paraId="5B327471">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val="en-US" w:eastAsia="zh-CN"/>
        </w:rPr>
      </w:pPr>
      <w:r>
        <w:rPr>
          <w:rFonts w:hint="eastAsia" w:ascii="仿宋" w:hAnsi="仿宋" w:eastAsia="仿宋" w:cs="仿宋"/>
          <w:b w:val="0"/>
          <w:color w:val="auto"/>
          <w:kern w:val="0"/>
          <w:sz w:val="28"/>
          <w:szCs w:val="28"/>
          <w:highlight w:val="none"/>
          <w:lang w:val="en-US" w:eastAsia="zh-CN"/>
        </w:rPr>
        <w:t>1.能独立完成婴幼儿日常照护操作，具备婴幼儿发展评估与活动设计能力，能实施个性化健康管理方案（包括生长监测、疫苗接种、过敏预防等全流程服务）。</w:t>
      </w:r>
    </w:p>
    <w:p w14:paraId="50401892">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val="en-US" w:eastAsia="zh-CN"/>
        </w:rPr>
        <w:t>2.掌握亲子互动与家庭养育指导技巧，熟练使用数字化健康管理工具（如儿童保健信息系统、生长曲线分析软件等）。</w:t>
      </w:r>
    </w:p>
    <w:p w14:paraId="43009A82">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w:t>
      </w:r>
      <w:r>
        <w:rPr>
          <w:rFonts w:hint="eastAsia" w:ascii="仿宋" w:hAnsi="仿宋" w:eastAsia="仿宋" w:cs="仿宋"/>
          <w:b w:val="0"/>
          <w:color w:val="auto"/>
          <w:kern w:val="0"/>
          <w:sz w:val="28"/>
          <w:szCs w:val="28"/>
          <w:highlight w:val="none"/>
          <w:lang w:val="en-US" w:eastAsia="zh-CN"/>
        </w:rPr>
        <w:t>三</w:t>
      </w:r>
      <w:r>
        <w:rPr>
          <w:rFonts w:hint="eastAsia" w:ascii="仿宋" w:hAnsi="仿宋" w:eastAsia="仿宋" w:cs="仿宋"/>
          <w:b w:val="0"/>
          <w:color w:val="auto"/>
          <w:kern w:val="0"/>
          <w:sz w:val="28"/>
          <w:szCs w:val="28"/>
          <w:highlight w:val="none"/>
          <w:lang w:eastAsia="zh-CN"/>
        </w:rPr>
        <w:t>）情感目标</w:t>
      </w:r>
    </w:p>
    <w:p w14:paraId="2392EC18">
      <w:pPr>
        <w:adjustRightInd/>
        <w:snapToGrid/>
        <w:spacing w:line="480" w:lineRule="exact"/>
        <w:ind w:firstLine="560" w:firstLineChars="200"/>
        <w:jc w:val="both"/>
        <w:rPr>
          <w:rFonts w:hint="eastAsia" w:ascii="宋体" w:hAnsi="宋体" w:eastAsia="宋体" w:cs="宋体"/>
          <w:b/>
          <w:bCs/>
          <w:sz w:val="24"/>
          <w:szCs w:val="32"/>
        </w:rPr>
      </w:pPr>
      <w:r>
        <w:rPr>
          <w:rFonts w:hint="default" w:ascii="仿宋" w:hAnsi="仿宋" w:eastAsia="仿宋" w:cs="仿宋"/>
          <w:b w:val="0"/>
          <w:color w:val="auto"/>
          <w:kern w:val="0"/>
          <w:sz w:val="28"/>
          <w:szCs w:val="28"/>
          <w:highlight w:val="none"/>
          <w:lang w:eastAsia="zh-CN"/>
        </w:rPr>
        <w:t>树立</w:t>
      </w:r>
      <w:r>
        <w:rPr>
          <w:rFonts w:hint="eastAsia" w:ascii="仿宋" w:hAnsi="仿宋" w:eastAsia="仿宋" w:cs="仿宋"/>
          <w:b w:val="0"/>
          <w:color w:val="auto"/>
          <w:kern w:val="0"/>
          <w:sz w:val="28"/>
          <w:szCs w:val="28"/>
          <w:highlight w:val="none"/>
          <w:lang w:eastAsia="zh-CN"/>
        </w:rPr>
        <w:t>“</w:t>
      </w:r>
      <w:r>
        <w:rPr>
          <w:rFonts w:hint="default" w:ascii="仿宋" w:hAnsi="仿宋" w:eastAsia="仿宋" w:cs="仿宋"/>
          <w:b w:val="0"/>
          <w:color w:val="auto"/>
          <w:kern w:val="0"/>
          <w:sz w:val="28"/>
          <w:szCs w:val="28"/>
          <w:highlight w:val="none"/>
          <w:lang w:eastAsia="zh-CN"/>
        </w:rPr>
        <w:t>生命至上</w:t>
      </w:r>
      <w:r>
        <w:rPr>
          <w:rFonts w:hint="eastAsia" w:ascii="仿宋" w:hAnsi="仿宋" w:eastAsia="仿宋" w:cs="仿宋"/>
          <w:b w:val="0"/>
          <w:color w:val="auto"/>
          <w:kern w:val="0"/>
          <w:sz w:val="28"/>
          <w:szCs w:val="28"/>
          <w:highlight w:val="none"/>
          <w:lang w:eastAsia="zh-CN"/>
        </w:rPr>
        <w:t>”</w:t>
      </w:r>
      <w:r>
        <w:rPr>
          <w:rFonts w:hint="default" w:ascii="仿宋" w:hAnsi="仿宋" w:eastAsia="仿宋" w:cs="仿宋"/>
          <w:b w:val="0"/>
          <w:color w:val="auto"/>
          <w:kern w:val="0"/>
          <w:sz w:val="28"/>
          <w:szCs w:val="28"/>
          <w:highlight w:val="none"/>
          <w:lang w:eastAsia="zh-CN"/>
        </w:rPr>
        <w:t>的职业伦理观</w:t>
      </w:r>
      <w:r>
        <w:rPr>
          <w:rFonts w:hint="eastAsia" w:ascii="仿宋" w:hAnsi="仿宋" w:eastAsia="仿宋" w:cs="仿宋"/>
          <w:b w:val="0"/>
          <w:color w:val="auto"/>
          <w:kern w:val="0"/>
          <w:sz w:val="28"/>
          <w:szCs w:val="28"/>
          <w:highlight w:val="none"/>
          <w:lang w:eastAsia="zh-CN"/>
        </w:rPr>
        <w:t>，</w:t>
      </w:r>
      <w:r>
        <w:rPr>
          <w:rFonts w:hint="default" w:ascii="仿宋" w:hAnsi="仿宋" w:eastAsia="仿宋" w:cs="仿宋"/>
          <w:b w:val="0"/>
          <w:color w:val="auto"/>
          <w:kern w:val="0"/>
          <w:sz w:val="28"/>
          <w:szCs w:val="28"/>
          <w:highlight w:val="none"/>
          <w:lang w:eastAsia="zh-CN"/>
        </w:rPr>
        <w:t>培养科学养育的敬畏心与责任感</w:t>
      </w:r>
      <w:r>
        <w:rPr>
          <w:rFonts w:hint="eastAsia" w:ascii="仿宋" w:hAnsi="仿宋" w:eastAsia="仿宋" w:cs="仿宋"/>
          <w:b w:val="0"/>
          <w:color w:val="auto"/>
          <w:kern w:val="0"/>
          <w:sz w:val="28"/>
          <w:szCs w:val="28"/>
          <w:highlight w:val="none"/>
          <w:lang w:eastAsia="zh-CN"/>
        </w:rPr>
        <w:t>，</w:t>
      </w:r>
      <w:r>
        <w:rPr>
          <w:rFonts w:hint="default" w:ascii="仿宋" w:hAnsi="仿宋" w:eastAsia="仿宋" w:cs="仿宋"/>
          <w:b w:val="0"/>
          <w:color w:val="auto"/>
          <w:kern w:val="0"/>
          <w:sz w:val="28"/>
          <w:szCs w:val="28"/>
          <w:highlight w:val="none"/>
          <w:lang w:eastAsia="zh-CN"/>
        </w:rPr>
        <w:t>形成尊重个体差异的包容态度</w:t>
      </w:r>
      <w:r>
        <w:rPr>
          <w:rFonts w:hint="eastAsia" w:ascii="仿宋" w:hAnsi="仿宋" w:eastAsia="仿宋" w:cs="仿宋"/>
          <w:b w:val="0"/>
          <w:color w:val="auto"/>
          <w:kern w:val="0"/>
          <w:sz w:val="28"/>
          <w:szCs w:val="28"/>
          <w:highlight w:val="none"/>
          <w:lang w:eastAsia="zh-CN"/>
        </w:rPr>
        <w:t>，</w:t>
      </w:r>
      <w:r>
        <w:rPr>
          <w:rFonts w:hint="default" w:ascii="仿宋" w:hAnsi="仿宋" w:eastAsia="仿宋" w:cs="仿宋"/>
          <w:b w:val="0"/>
          <w:color w:val="auto"/>
          <w:kern w:val="0"/>
          <w:sz w:val="28"/>
          <w:szCs w:val="28"/>
          <w:highlight w:val="none"/>
          <w:lang w:eastAsia="zh-CN"/>
        </w:rPr>
        <w:t>建立持续学习的专业发展意识</w:t>
      </w:r>
      <w:r>
        <w:rPr>
          <w:rFonts w:hint="eastAsia" w:ascii="仿宋" w:hAnsi="仿宋" w:eastAsia="仿宋" w:cs="仿宋"/>
          <w:b w:val="0"/>
          <w:color w:val="auto"/>
          <w:kern w:val="0"/>
          <w:sz w:val="28"/>
          <w:szCs w:val="28"/>
          <w:highlight w:val="none"/>
          <w:lang w:eastAsia="zh-CN"/>
        </w:rPr>
        <w:t>，</w:t>
      </w:r>
      <w:r>
        <w:rPr>
          <w:rFonts w:hint="default" w:ascii="仿宋" w:hAnsi="仿宋" w:eastAsia="仿宋" w:cs="仿宋"/>
          <w:b w:val="0"/>
          <w:color w:val="auto"/>
          <w:kern w:val="0"/>
          <w:sz w:val="28"/>
          <w:szCs w:val="28"/>
          <w:highlight w:val="none"/>
          <w:lang w:eastAsia="zh-CN"/>
        </w:rPr>
        <w:t>培育跨学科协作的服务精神</w:t>
      </w:r>
      <w:r>
        <w:rPr>
          <w:rFonts w:hint="eastAsia" w:ascii="仿宋" w:hAnsi="仿宋" w:eastAsia="仿宋" w:cs="仿宋"/>
          <w:b w:val="0"/>
          <w:color w:val="auto"/>
          <w:kern w:val="0"/>
          <w:sz w:val="28"/>
          <w:szCs w:val="28"/>
          <w:highlight w:val="none"/>
          <w:lang w:eastAsia="zh-CN"/>
        </w:rPr>
        <w:t>。</w:t>
      </w:r>
      <w:r>
        <w:rPr>
          <w:rFonts w:hint="default" w:ascii="Segoe UI" w:hAnsi="Segoe UI" w:eastAsia="Segoe UI" w:cs="Segoe UI"/>
          <w:i w:val="0"/>
          <w:iCs w:val="0"/>
          <w:caps w:val="0"/>
          <w:color w:val="404040"/>
          <w:spacing w:val="0"/>
          <w:sz w:val="24"/>
          <w:szCs w:val="24"/>
          <w:shd w:val="clear" w:fill="FFFFFF"/>
        </w:rPr>
        <w:br w:type="textWrapping"/>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教学内容</w:t>
      </w:r>
    </w:p>
    <w:tbl>
      <w:tblPr>
        <w:tblStyle w:val="10"/>
        <w:tblpPr w:leftFromText="180" w:rightFromText="180" w:vertAnchor="text" w:horzAnchor="page" w:tblpXSpec="center" w:tblpY="167"/>
        <w:tblOverlap w:val="never"/>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8"/>
        <w:gridCol w:w="1031"/>
        <w:gridCol w:w="942"/>
        <w:gridCol w:w="1704"/>
        <w:gridCol w:w="3554"/>
      </w:tblGrid>
      <w:tr w14:paraId="5E9A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shd w:val="clear" w:color="auto" w:fill="auto"/>
          </w:tcPr>
          <w:p w14:paraId="1833745C">
            <w:pPr>
              <w:widowControl/>
              <w:spacing w:line="360" w:lineRule="auto"/>
              <w:jc w:val="center"/>
              <w:rPr>
                <w:rFonts w:ascii="仿宋_GB2312" w:eastAsia="仿宋_GB2312"/>
                <w:b/>
                <w:bCs/>
                <w:sz w:val="24"/>
              </w:rPr>
            </w:pPr>
            <w:r>
              <w:rPr>
                <w:rFonts w:hint="eastAsia" w:ascii="仿宋_GB2312" w:eastAsia="仿宋_GB2312"/>
                <w:b/>
                <w:bCs/>
                <w:sz w:val="24"/>
              </w:rPr>
              <w:t>课程名称</w:t>
            </w:r>
          </w:p>
        </w:tc>
        <w:tc>
          <w:tcPr>
            <w:tcW w:w="1031" w:type="dxa"/>
          </w:tcPr>
          <w:p w14:paraId="06FC9E9A">
            <w:pPr>
              <w:widowControl/>
              <w:spacing w:line="360" w:lineRule="auto"/>
              <w:jc w:val="center"/>
              <w:rPr>
                <w:rFonts w:ascii="仿宋_GB2312" w:eastAsia="仿宋_GB2312"/>
                <w:b/>
                <w:bCs/>
                <w:sz w:val="24"/>
              </w:rPr>
            </w:pPr>
            <w:r>
              <w:rPr>
                <w:rFonts w:hint="eastAsia" w:ascii="仿宋_GB2312" w:eastAsia="仿宋_GB2312"/>
                <w:b/>
                <w:bCs/>
                <w:sz w:val="24"/>
                <w:lang w:val="en-US" w:eastAsia="zh-CN"/>
              </w:rPr>
              <w:t>总</w:t>
            </w:r>
            <w:r>
              <w:rPr>
                <w:rFonts w:hint="eastAsia" w:ascii="仿宋_GB2312" w:eastAsia="仿宋_GB2312"/>
                <w:b/>
                <w:bCs/>
                <w:sz w:val="24"/>
              </w:rPr>
              <w:t>学时</w:t>
            </w:r>
          </w:p>
        </w:tc>
        <w:tc>
          <w:tcPr>
            <w:tcW w:w="942" w:type="dxa"/>
          </w:tcPr>
          <w:p w14:paraId="52DAEB48">
            <w:pPr>
              <w:widowControl/>
              <w:spacing w:line="360" w:lineRule="auto"/>
              <w:jc w:val="center"/>
              <w:rPr>
                <w:rFonts w:hint="eastAsia" w:ascii="仿宋_GB2312" w:eastAsia="仿宋_GB2312"/>
                <w:b/>
                <w:bCs/>
                <w:sz w:val="24"/>
                <w:lang w:val="en-US" w:eastAsia="zh-CN"/>
              </w:rPr>
            </w:pPr>
            <w:r>
              <w:rPr>
                <w:rFonts w:hint="eastAsia" w:ascii="仿宋_GB2312" w:eastAsia="仿宋_GB2312"/>
                <w:b/>
                <w:bCs/>
                <w:sz w:val="24"/>
                <w:lang w:val="en-US" w:eastAsia="zh-CN"/>
              </w:rPr>
              <w:t>学时</w:t>
            </w:r>
          </w:p>
        </w:tc>
        <w:tc>
          <w:tcPr>
            <w:tcW w:w="1704" w:type="dxa"/>
          </w:tcPr>
          <w:p w14:paraId="11BA89B4">
            <w:pPr>
              <w:widowControl/>
              <w:spacing w:line="360" w:lineRule="auto"/>
              <w:jc w:val="center"/>
              <w:rPr>
                <w:rFonts w:hint="default" w:ascii="仿宋_GB2312" w:eastAsia="仿宋_GB2312"/>
                <w:b/>
                <w:bCs/>
                <w:sz w:val="24"/>
                <w:lang w:val="en-US" w:eastAsia="zh-CN"/>
              </w:rPr>
            </w:pPr>
            <w:r>
              <w:rPr>
                <w:rFonts w:hint="eastAsia" w:ascii="仿宋_GB2312" w:eastAsia="仿宋_GB2312"/>
                <w:b/>
                <w:bCs/>
                <w:sz w:val="24"/>
                <w:lang w:val="en-US" w:eastAsia="zh-CN"/>
              </w:rPr>
              <w:t>授课方式</w:t>
            </w:r>
          </w:p>
        </w:tc>
        <w:tc>
          <w:tcPr>
            <w:tcW w:w="3554" w:type="dxa"/>
          </w:tcPr>
          <w:p w14:paraId="2AC4A9F7">
            <w:pPr>
              <w:widowControl/>
              <w:spacing w:line="360" w:lineRule="auto"/>
              <w:jc w:val="center"/>
              <w:rPr>
                <w:rFonts w:hint="default" w:ascii="仿宋_GB2312" w:eastAsia="仿宋_GB2312"/>
                <w:b/>
                <w:bCs/>
                <w:sz w:val="24"/>
                <w:lang w:val="en-US" w:eastAsia="zh-CN"/>
              </w:rPr>
            </w:pPr>
            <w:r>
              <w:rPr>
                <w:rFonts w:hint="eastAsia" w:ascii="仿宋_GB2312" w:eastAsia="仿宋_GB2312"/>
                <w:b/>
                <w:bCs/>
                <w:sz w:val="24"/>
                <w:lang w:val="en-US" w:eastAsia="zh-CN"/>
              </w:rPr>
              <w:t>授课内容</w:t>
            </w:r>
          </w:p>
        </w:tc>
      </w:tr>
      <w:tr w14:paraId="2AF8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restart"/>
            <w:vAlign w:val="center"/>
          </w:tcPr>
          <w:p w14:paraId="1EAF100C">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《婴幼儿生长发育与心理健康发展》</w:t>
            </w:r>
          </w:p>
        </w:tc>
        <w:tc>
          <w:tcPr>
            <w:tcW w:w="1031" w:type="dxa"/>
            <w:vMerge w:val="restart"/>
            <w:vAlign w:val="center"/>
          </w:tcPr>
          <w:p w14:paraId="3AE31CA5">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8</w:t>
            </w:r>
          </w:p>
        </w:tc>
        <w:tc>
          <w:tcPr>
            <w:tcW w:w="942" w:type="dxa"/>
          </w:tcPr>
          <w:p w14:paraId="4B934FB4">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1BF5CD74">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175EA909">
            <w:pPr>
              <w:widowControl/>
              <w:spacing w:line="240" w:lineRule="auto"/>
              <w:jc w:val="center"/>
              <w:rPr>
                <w:rFonts w:hint="default"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婴幼儿生长发育与心理健康概述</w:t>
            </w:r>
          </w:p>
        </w:tc>
      </w:tr>
      <w:tr w14:paraId="2650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45F3A0CA">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4AACE32B">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2B407FF3">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2.5</w:t>
            </w:r>
          </w:p>
        </w:tc>
        <w:tc>
          <w:tcPr>
            <w:tcW w:w="1704" w:type="dxa"/>
            <w:shd w:val="clear" w:color="auto" w:fill="auto"/>
            <w:vAlign w:val="top"/>
          </w:tcPr>
          <w:p w14:paraId="629A71A7">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57029348">
            <w:pPr>
              <w:widowControl/>
              <w:spacing w:line="240" w:lineRule="auto"/>
              <w:jc w:val="center"/>
              <w:rPr>
                <w:rFonts w:hint="default"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婴幼儿生长发育监测与评估</w:t>
            </w:r>
          </w:p>
        </w:tc>
      </w:tr>
      <w:tr w14:paraId="788F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6B2C1AFF">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339164D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558E14DC">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2.5</w:t>
            </w:r>
          </w:p>
        </w:tc>
        <w:tc>
          <w:tcPr>
            <w:tcW w:w="1704" w:type="dxa"/>
            <w:shd w:val="clear" w:color="auto" w:fill="auto"/>
            <w:vAlign w:val="top"/>
          </w:tcPr>
          <w:p w14:paraId="114339C5">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7B1A3449">
            <w:pPr>
              <w:widowControl/>
              <w:spacing w:line="240" w:lineRule="auto"/>
              <w:jc w:val="center"/>
              <w:rPr>
                <w:rFonts w:hint="default"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婴幼儿心理健康发展与常见问题</w:t>
            </w:r>
          </w:p>
        </w:tc>
      </w:tr>
      <w:tr w14:paraId="648B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400AB96D">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72CF6D0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3B85CFD7">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1</w:t>
            </w:r>
          </w:p>
        </w:tc>
        <w:tc>
          <w:tcPr>
            <w:tcW w:w="1704" w:type="dxa"/>
            <w:shd w:val="clear" w:color="auto" w:fill="auto"/>
            <w:vAlign w:val="top"/>
          </w:tcPr>
          <w:p w14:paraId="7E7A6217">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3AE82574">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家园协同与健康教育</w:t>
            </w:r>
          </w:p>
        </w:tc>
      </w:tr>
      <w:tr w14:paraId="37C9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restart"/>
            <w:vAlign w:val="center"/>
          </w:tcPr>
          <w:p w14:paraId="45DC8369">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《婴幼儿营养与喂养》</w:t>
            </w:r>
          </w:p>
        </w:tc>
        <w:tc>
          <w:tcPr>
            <w:tcW w:w="1031" w:type="dxa"/>
            <w:vMerge w:val="restart"/>
            <w:vAlign w:val="center"/>
          </w:tcPr>
          <w:p w14:paraId="6D98E318">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8</w:t>
            </w:r>
          </w:p>
        </w:tc>
        <w:tc>
          <w:tcPr>
            <w:tcW w:w="942" w:type="dxa"/>
          </w:tcPr>
          <w:p w14:paraId="3733E8C1">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22749523">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16D6C42A">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母乳喂养</w:t>
            </w:r>
          </w:p>
        </w:tc>
      </w:tr>
      <w:tr w14:paraId="7331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5B71CF7F">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1512523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5139B3BF">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51B34C55">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287BA077">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辅食添加</w:t>
            </w:r>
          </w:p>
        </w:tc>
      </w:tr>
      <w:tr w14:paraId="54E6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0C2531B5">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46AAAAD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6C8040B8">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3AE33CD9">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4BA6F664">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 xml:space="preserve">婴幼儿合理膳食与饮食行为培养 </w:t>
            </w:r>
          </w:p>
        </w:tc>
      </w:tr>
      <w:tr w14:paraId="736F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39B43B55">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36DAA900">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0E4E6017">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66B64DF6">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52EF3F4F">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婴幼儿营养状况评估与常见营养性疾病预防</w:t>
            </w:r>
          </w:p>
        </w:tc>
      </w:tr>
      <w:tr w14:paraId="6A8A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restart"/>
            <w:vAlign w:val="center"/>
          </w:tcPr>
          <w:p w14:paraId="48D28246">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《婴幼儿常见疾病防治》</w:t>
            </w:r>
          </w:p>
        </w:tc>
        <w:tc>
          <w:tcPr>
            <w:tcW w:w="1031" w:type="dxa"/>
            <w:vMerge w:val="restart"/>
            <w:vAlign w:val="center"/>
          </w:tcPr>
          <w:p w14:paraId="43CD3EF1">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8</w:t>
            </w:r>
          </w:p>
        </w:tc>
        <w:tc>
          <w:tcPr>
            <w:tcW w:w="942" w:type="dxa"/>
          </w:tcPr>
          <w:p w14:paraId="361E7AB1">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4903C7D7">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02D23142">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婴幼儿常见呼吸系统疾病防治</w:t>
            </w:r>
          </w:p>
        </w:tc>
      </w:tr>
      <w:tr w14:paraId="53AB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tcPr>
          <w:p w14:paraId="0EAD16BC">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tcPr>
          <w:p w14:paraId="61CB31EE">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3B734019">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65C67801">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749A2600">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婴幼儿常见消化系统疾病防治</w:t>
            </w:r>
          </w:p>
        </w:tc>
      </w:tr>
      <w:tr w14:paraId="2D0C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tcPr>
          <w:p w14:paraId="68615844">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tcPr>
          <w:p w14:paraId="3CADC93A">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02C8157B">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2B842C91">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1EE8FCE3">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婴幼儿常见传染性疾病防治</w:t>
            </w:r>
          </w:p>
        </w:tc>
      </w:tr>
      <w:tr w14:paraId="7302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tcPr>
          <w:p w14:paraId="19B62203">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tcPr>
          <w:p w14:paraId="1F17E9D2">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3E687298">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7988A57C">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21DC7A36">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婴幼儿常见疾病的应急处理与护理</w:t>
            </w:r>
          </w:p>
        </w:tc>
      </w:tr>
      <w:tr w14:paraId="19F2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restart"/>
            <w:vAlign w:val="center"/>
          </w:tcPr>
          <w:p w14:paraId="0756FFBD">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《婴幼儿日常照料与安全防护》</w:t>
            </w:r>
          </w:p>
        </w:tc>
        <w:tc>
          <w:tcPr>
            <w:tcW w:w="1031" w:type="dxa"/>
            <w:vMerge w:val="restart"/>
            <w:vAlign w:val="center"/>
          </w:tcPr>
          <w:p w14:paraId="6C971271">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16</w:t>
            </w:r>
          </w:p>
        </w:tc>
        <w:tc>
          <w:tcPr>
            <w:tcW w:w="942" w:type="dxa"/>
          </w:tcPr>
          <w:p w14:paraId="64C161A3">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6F9C600A">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1A907FE3">
            <w:pPr>
              <w:widowControl/>
              <w:spacing w:line="240" w:lineRule="auto"/>
              <w:jc w:val="center"/>
              <w:rPr>
                <w:rFonts w:hint="default"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婴幼儿日常照料与安全防护基础理论</w:t>
            </w:r>
          </w:p>
        </w:tc>
      </w:tr>
      <w:tr w14:paraId="2B22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5C67DA4A">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72E398C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6DAE0784">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2.5</w:t>
            </w:r>
          </w:p>
        </w:tc>
        <w:tc>
          <w:tcPr>
            <w:tcW w:w="1704" w:type="dxa"/>
            <w:shd w:val="clear" w:color="auto" w:fill="auto"/>
            <w:vAlign w:val="top"/>
          </w:tcPr>
          <w:p w14:paraId="4296ADF5">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5DC9B2E7">
            <w:pPr>
              <w:widowControl/>
              <w:spacing w:line="240" w:lineRule="auto"/>
              <w:jc w:val="center"/>
              <w:rPr>
                <w:rFonts w:hint="default"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婴幼儿日常生活照料</w:t>
            </w:r>
          </w:p>
        </w:tc>
      </w:tr>
      <w:tr w14:paraId="5774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27372C73">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4BEEC102">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2F1480B5">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2.5</w:t>
            </w:r>
          </w:p>
        </w:tc>
        <w:tc>
          <w:tcPr>
            <w:tcW w:w="1704" w:type="dxa"/>
            <w:shd w:val="clear" w:color="auto" w:fill="auto"/>
            <w:vAlign w:val="top"/>
          </w:tcPr>
          <w:p w14:paraId="57C3D6D2">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tcPr>
          <w:p w14:paraId="6659D67E">
            <w:pPr>
              <w:widowControl/>
              <w:spacing w:line="240" w:lineRule="auto"/>
              <w:jc w:val="center"/>
              <w:rPr>
                <w:rFonts w:hint="default"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婴幼儿安全防护</w:t>
            </w:r>
          </w:p>
        </w:tc>
      </w:tr>
      <w:tr w14:paraId="6356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07D8739A">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2AAA227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38091883">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1</w:t>
            </w:r>
          </w:p>
        </w:tc>
        <w:tc>
          <w:tcPr>
            <w:tcW w:w="1704" w:type="dxa"/>
            <w:shd w:val="clear" w:color="auto" w:fill="auto"/>
            <w:vAlign w:val="top"/>
          </w:tcPr>
          <w:p w14:paraId="12E87076">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vAlign w:val="top"/>
          </w:tcPr>
          <w:p w14:paraId="32474A30">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特殊情况照料与应急处理</w:t>
            </w:r>
          </w:p>
        </w:tc>
      </w:tr>
      <w:tr w14:paraId="4961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7BFEB917">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32FEA543">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1AA97058">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16E084AF">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线下实训</w:t>
            </w:r>
          </w:p>
        </w:tc>
        <w:tc>
          <w:tcPr>
            <w:tcW w:w="3554" w:type="dxa"/>
            <w:vMerge w:val="restart"/>
            <w:vAlign w:val="center"/>
          </w:tcPr>
          <w:p w14:paraId="780BAA2D">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海姆立克急救技术（幼儿）</w:t>
            </w:r>
          </w:p>
        </w:tc>
      </w:tr>
      <w:tr w14:paraId="1E4D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6EC63F4F">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12E7EBA8">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15E61154">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34752EB4">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考试</w:t>
            </w:r>
          </w:p>
        </w:tc>
        <w:tc>
          <w:tcPr>
            <w:tcW w:w="3554" w:type="dxa"/>
            <w:vMerge w:val="continue"/>
            <w:vAlign w:val="center"/>
          </w:tcPr>
          <w:p w14:paraId="4BB05B41">
            <w:pPr>
              <w:widowControl/>
              <w:spacing w:line="240" w:lineRule="auto"/>
              <w:jc w:val="center"/>
              <w:rPr>
                <w:rFonts w:hint="eastAsia" w:ascii="宋体" w:hAnsi="宋体" w:eastAsia="宋体" w:cs="宋体"/>
                <w:b w:val="0"/>
                <w:color w:val="auto"/>
                <w:kern w:val="0"/>
                <w:sz w:val="21"/>
                <w:highlight w:val="none"/>
                <w:lang w:val="en-US" w:eastAsia="zh-CN"/>
              </w:rPr>
            </w:pPr>
          </w:p>
        </w:tc>
      </w:tr>
      <w:tr w14:paraId="1801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228648E2">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271633EC">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14078C8E">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3C8E4340">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线下实训</w:t>
            </w:r>
          </w:p>
        </w:tc>
        <w:tc>
          <w:tcPr>
            <w:tcW w:w="3554" w:type="dxa"/>
            <w:vMerge w:val="restart"/>
            <w:vAlign w:val="center"/>
          </w:tcPr>
          <w:p w14:paraId="0AC45729">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海姆立克急救技术（婴儿）</w:t>
            </w:r>
          </w:p>
        </w:tc>
      </w:tr>
      <w:tr w14:paraId="1E1A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vAlign w:val="center"/>
          </w:tcPr>
          <w:p w14:paraId="49C7E681">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vAlign w:val="center"/>
          </w:tcPr>
          <w:p w14:paraId="59F4411F">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0BC2613C">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32BC1444">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考试</w:t>
            </w:r>
          </w:p>
        </w:tc>
        <w:tc>
          <w:tcPr>
            <w:tcW w:w="3554" w:type="dxa"/>
            <w:vMerge w:val="continue"/>
          </w:tcPr>
          <w:p w14:paraId="36893B7C">
            <w:pPr>
              <w:widowControl/>
              <w:spacing w:line="240" w:lineRule="auto"/>
              <w:jc w:val="center"/>
              <w:rPr>
                <w:rFonts w:hint="eastAsia" w:ascii="宋体" w:hAnsi="宋体" w:eastAsia="宋体" w:cs="宋体"/>
                <w:b w:val="0"/>
                <w:color w:val="auto"/>
                <w:kern w:val="0"/>
                <w:sz w:val="21"/>
                <w:highlight w:val="none"/>
                <w:lang w:val="en-US" w:eastAsia="zh-CN"/>
              </w:rPr>
            </w:pPr>
          </w:p>
        </w:tc>
      </w:tr>
      <w:tr w14:paraId="45EE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restart"/>
            <w:vAlign w:val="center"/>
          </w:tcPr>
          <w:p w14:paraId="69839E4B">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《婴幼儿早期教育与亲子互动》</w:t>
            </w:r>
          </w:p>
        </w:tc>
        <w:tc>
          <w:tcPr>
            <w:tcW w:w="1031" w:type="dxa"/>
            <w:vMerge w:val="restart"/>
            <w:vAlign w:val="center"/>
          </w:tcPr>
          <w:p w14:paraId="57F69C07">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8</w:t>
            </w:r>
          </w:p>
        </w:tc>
        <w:tc>
          <w:tcPr>
            <w:tcW w:w="942" w:type="dxa"/>
          </w:tcPr>
          <w:p w14:paraId="1B5670CE">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6B31FCD7">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1CC0608A">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婴幼儿早期教育概述</w:t>
            </w:r>
          </w:p>
        </w:tc>
      </w:tr>
      <w:tr w14:paraId="51C4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tcPr>
          <w:p w14:paraId="2EFE1CF0">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tcPr>
          <w:p w14:paraId="174C4501">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5D181404">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3E3BF9DD">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154C98DD">
            <w:pPr>
              <w:widowControl/>
              <w:spacing w:line="240" w:lineRule="auto"/>
              <w:jc w:val="center"/>
              <w:rPr>
                <w:rFonts w:hint="eastAsia"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亲子互动活动设计与实施</w:t>
            </w:r>
          </w:p>
        </w:tc>
      </w:tr>
      <w:tr w14:paraId="5A05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tcPr>
          <w:p w14:paraId="2AD4F509">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tcPr>
          <w:p w14:paraId="20B2C1F0">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tcPr>
          <w:p w14:paraId="0C6A4CAB">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228CCA8C">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shd w:val="clear" w:color="auto" w:fill="auto"/>
            <w:vAlign w:val="top"/>
          </w:tcPr>
          <w:p w14:paraId="50C0F4DB">
            <w:pPr>
              <w:widowControl/>
              <w:spacing w:line="240" w:lineRule="auto"/>
              <w:jc w:val="center"/>
              <w:rPr>
                <w:rFonts w:hint="eastAsia" w:ascii="宋体" w:hAnsi="宋体" w:eastAsia="宋体" w:cs="宋体"/>
                <w:b w:val="0"/>
                <w:color w:val="auto"/>
                <w:kern w:val="0"/>
                <w:sz w:val="21"/>
                <w:highlight w:val="none"/>
                <w:lang w:val="en-US" w:eastAsia="zh-CN"/>
              </w:rPr>
            </w:pPr>
            <w:r>
              <w:rPr>
                <w:rFonts w:hint="default" w:ascii="宋体" w:hAnsi="宋体" w:eastAsia="宋体" w:cs="宋体"/>
                <w:b w:val="0"/>
                <w:color w:val="auto"/>
                <w:kern w:val="0"/>
                <w:sz w:val="21"/>
                <w:highlight w:val="none"/>
                <w:lang w:val="en-US" w:eastAsia="zh-CN"/>
              </w:rPr>
              <w:t>亲子互动活动设计与实施</w:t>
            </w:r>
          </w:p>
        </w:tc>
      </w:tr>
      <w:tr w14:paraId="791A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08" w:type="dxa"/>
            <w:vMerge w:val="continue"/>
          </w:tcPr>
          <w:p w14:paraId="4B6EF1C7">
            <w:pPr>
              <w:widowControl/>
              <w:spacing w:line="240" w:lineRule="auto"/>
              <w:jc w:val="center"/>
              <w:rPr>
                <w:rFonts w:hint="eastAsia" w:ascii="宋体" w:hAnsi="宋体" w:eastAsia="宋体" w:cs="宋体"/>
                <w:b w:val="0"/>
                <w:color w:val="auto"/>
                <w:kern w:val="0"/>
                <w:sz w:val="21"/>
                <w:highlight w:val="none"/>
                <w:lang w:val="en-US" w:eastAsia="zh-CN"/>
              </w:rPr>
            </w:pPr>
          </w:p>
        </w:tc>
        <w:tc>
          <w:tcPr>
            <w:tcW w:w="1031" w:type="dxa"/>
            <w:vMerge w:val="continue"/>
          </w:tcPr>
          <w:p w14:paraId="3CB9D6A7">
            <w:pPr>
              <w:widowControl/>
              <w:spacing w:line="240" w:lineRule="auto"/>
              <w:jc w:val="center"/>
              <w:rPr>
                <w:rFonts w:hint="eastAsia" w:ascii="宋体" w:hAnsi="宋体" w:eastAsia="宋体" w:cs="宋体"/>
                <w:b w:val="0"/>
                <w:color w:val="auto"/>
                <w:kern w:val="0"/>
                <w:sz w:val="21"/>
                <w:highlight w:val="none"/>
                <w:lang w:val="en-US" w:eastAsia="zh-CN"/>
              </w:rPr>
            </w:pPr>
          </w:p>
        </w:tc>
        <w:tc>
          <w:tcPr>
            <w:tcW w:w="942" w:type="dxa"/>
            <w:vAlign w:val="top"/>
          </w:tcPr>
          <w:p w14:paraId="5F3A8FD5">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2</w:t>
            </w:r>
          </w:p>
        </w:tc>
        <w:tc>
          <w:tcPr>
            <w:tcW w:w="1704" w:type="dxa"/>
            <w:shd w:val="clear" w:color="auto" w:fill="auto"/>
            <w:vAlign w:val="top"/>
          </w:tcPr>
          <w:p w14:paraId="1A103114">
            <w:pPr>
              <w:widowControl/>
              <w:spacing w:line="240" w:lineRule="auto"/>
              <w:jc w:val="center"/>
              <w:rPr>
                <w:rFonts w:hint="default"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线上</w:t>
            </w:r>
          </w:p>
        </w:tc>
        <w:tc>
          <w:tcPr>
            <w:tcW w:w="3554" w:type="dxa"/>
            <w:vAlign w:val="top"/>
          </w:tcPr>
          <w:p w14:paraId="489A9B14">
            <w:pPr>
              <w:widowControl/>
              <w:spacing w:line="240" w:lineRule="auto"/>
              <w:jc w:val="center"/>
              <w:rPr>
                <w:rFonts w:hint="eastAsia" w:ascii="宋体" w:hAnsi="宋体" w:eastAsia="宋体" w:cs="宋体"/>
                <w:b w:val="0"/>
                <w:color w:val="auto"/>
                <w:kern w:val="0"/>
                <w:sz w:val="21"/>
                <w:highlight w:val="none"/>
                <w:lang w:val="en-US" w:eastAsia="zh-CN"/>
              </w:rPr>
            </w:pPr>
            <w:r>
              <w:rPr>
                <w:rFonts w:hint="eastAsia" w:ascii="宋体" w:hAnsi="宋体" w:eastAsia="宋体" w:cs="宋体"/>
                <w:b w:val="0"/>
                <w:color w:val="auto"/>
                <w:kern w:val="0"/>
                <w:sz w:val="21"/>
                <w:highlight w:val="none"/>
                <w:lang w:val="en-US" w:eastAsia="zh-CN"/>
              </w:rPr>
              <w:t>家园合作与亲子教育指导</w:t>
            </w:r>
          </w:p>
        </w:tc>
      </w:tr>
    </w:tbl>
    <w:p w14:paraId="4A7BD796">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32"/>
        </w:rPr>
      </w:pPr>
      <w:r>
        <w:rPr>
          <w:rFonts w:hint="eastAsia" w:ascii="宋体" w:hAnsi="宋体" w:eastAsia="宋体" w:cs="宋体"/>
          <w:b/>
          <w:bCs/>
          <w:sz w:val="24"/>
          <w:szCs w:val="32"/>
          <w:lang w:val="en-US" w:eastAsia="zh-CN"/>
        </w:rPr>
        <w:t>三、</w:t>
      </w:r>
      <w:r>
        <w:rPr>
          <w:rFonts w:hint="eastAsia" w:ascii="宋体" w:hAnsi="宋体" w:eastAsia="宋体" w:cs="宋体"/>
          <w:b/>
          <w:bCs/>
          <w:sz w:val="24"/>
          <w:szCs w:val="32"/>
        </w:rPr>
        <w:t>教学方法</w:t>
      </w:r>
    </w:p>
    <w:p w14:paraId="1C2C0C7F">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val="en-US" w:eastAsia="zh-CN"/>
        </w:rPr>
      </w:pPr>
      <w:r>
        <w:rPr>
          <w:rFonts w:hint="eastAsia" w:ascii="仿宋" w:hAnsi="仿宋" w:eastAsia="仿宋" w:cs="仿宋"/>
          <w:b w:val="0"/>
          <w:color w:val="auto"/>
          <w:kern w:val="0"/>
          <w:sz w:val="28"/>
          <w:szCs w:val="28"/>
          <w:highlight w:val="none"/>
          <w:lang w:val="en-US" w:eastAsia="zh-CN"/>
        </w:rPr>
        <w:t>线上理论讲授：通过PPT、案例分析等形式，系统讲解各课程模块的基础理论知识，确保学员理解掌握关键概念和原理。</w:t>
      </w:r>
    </w:p>
    <w:p w14:paraId="690DA871">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val="en-US" w:eastAsia="zh-CN"/>
        </w:rPr>
      </w:pPr>
      <w:r>
        <w:rPr>
          <w:rFonts w:hint="eastAsia" w:ascii="仿宋" w:hAnsi="仿宋" w:eastAsia="仿宋" w:cs="仿宋"/>
          <w:b w:val="0"/>
          <w:color w:val="auto"/>
          <w:kern w:val="0"/>
          <w:sz w:val="28"/>
          <w:szCs w:val="28"/>
          <w:highlight w:val="none"/>
          <w:lang w:val="en-US" w:eastAsia="zh-CN"/>
        </w:rPr>
        <w:t>实操演示：特殊情况照料与应急处理模块中支气管异物的识别与抢救，采取线上、线下结合的教学手段，教师示教不同年龄段支气管异物的处理方法，分组练习，让学员直观地学习、掌握操作方法。</w:t>
      </w:r>
    </w:p>
    <w:p w14:paraId="68842DC7">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32"/>
        </w:rPr>
      </w:pPr>
      <w:r>
        <w:rPr>
          <w:rFonts w:hint="eastAsia" w:ascii="宋体" w:hAnsi="宋体" w:eastAsia="宋体" w:cs="宋体"/>
          <w:b/>
          <w:bCs/>
          <w:sz w:val="24"/>
          <w:szCs w:val="32"/>
        </w:rPr>
        <w:t>四</w:t>
      </w:r>
      <w:r>
        <w:rPr>
          <w:rFonts w:hint="eastAsia" w:ascii="宋体" w:hAnsi="宋体" w:eastAsia="宋体" w:cs="宋体"/>
          <w:b/>
          <w:bCs/>
          <w:sz w:val="24"/>
          <w:szCs w:val="32"/>
          <w:lang w:eastAsia="zh-CN"/>
        </w:rPr>
        <w:t>、</w:t>
      </w:r>
      <w:r>
        <w:rPr>
          <w:rFonts w:hint="eastAsia" w:ascii="宋体" w:hAnsi="宋体" w:eastAsia="宋体" w:cs="宋体"/>
          <w:b/>
          <w:bCs/>
          <w:sz w:val="24"/>
          <w:szCs w:val="32"/>
        </w:rPr>
        <w:t>教学评价</w:t>
      </w:r>
    </w:p>
    <w:p w14:paraId="683E272B">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val="en-US" w:eastAsia="zh-CN"/>
        </w:rPr>
      </w:pPr>
      <w:r>
        <w:rPr>
          <w:rFonts w:hint="eastAsia" w:ascii="仿宋" w:hAnsi="仿宋" w:eastAsia="仿宋" w:cs="仿宋"/>
          <w:b w:val="0"/>
          <w:color w:val="auto"/>
          <w:kern w:val="0"/>
          <w:sz w:val="28"/>
          <w:szCs w:val="28"/>
          <w:highlight w:val="none"/>
          <w:lang w:val="en-US" w:eastAsia="zh-CN"/>
        </w:rPr>
        <w:t>结业考试（100%）：《婴幼儿生长发育与心理健康发展》《婴幼儿营养与喂养》《婴幼儿常见疾病防治》《婴幼儿早期教育与亲子互动》4门课程采用课堂考勤、课后讨论、学习通线上考核等方式，《婴幼儿日常照料与安全防护》采用实操技能考核方式，全面考查学员对课程内容的掌握程度和应用能力。</w:t>
      </w:r>
    </w:p>
    <w:p w14:paraId="3126FEB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32"/>
        </w:rPr>
      </w:pPr>
      <w:r>
        <w:rPr>
          <w:rFonts w:hint="eastAsia" w:ascii="宋体" w:hAnsi="宋体" w:eastAsia="宋体" w:cs="宋体"/>
          <w:b/>
          <w:bCs/>
          <w:sz w:val="24"/>
          <w:szCs w:val="32"/>
          <w:lang w:val="en-US" w:eastAsia="zh-CN"/>
        </w:rPr>
        <w:t>五</w:t>
      </w:r>
      <w:r>
        <w:rPr>
          <w:rFonts w:hint="eastAsia" w:ascii="宋体" w:hAnsi="宋体" w:eastAsia="宋体" w:cs="宋体"/>
          <w:b/>
          <w:bCs/>
          <w:sz w:val="24"/>
          <w:szCs w:val="32"/>
        </w:rPr>
        <w:t>、教学计划</w:t>
      </w:r>
    </w:p>
    <w:p w14:paraId="671651D7">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val="en-US" w:eastAsia="zh-CN"/>
        </w:rPr>
      </w:pPr>
      <w:r>
        <w:rPr>
          <w:rFonts w:hint="eastAsia" w:ascii="仿宋" w:hAnsi="仿宋" w:eastAsia="仿宋" w:cs="仿宋"/>
          <w:b w:val="0"/>
          <w:color w:val="auto"/>
          <w:kern w:val="0"/>
          <w:sz w:val="28"/>
          <w:szCs w:val="28"/>
          <w:highlight w:val="none"/>
          <w:lang w:val="en-US" w:eastAsia="zh-CN"/>
        </w:rPr>
        <w:t>本总学时为48学时，预计教学周期为4周。</w:t>
      </w:r>
    </w:p>
    <w:p w14:paraId="28B85A06">
      <w:pPr>
        <w:adjustRightInd/>
        <w:snapToGrid/>
        <w:spacing w:after="120" w:afterLines="50" w:line="240" w:lineRule="auto"/>
        <w:jc w:val="center"/>
        <w:rPr>
          <w:rFonts w:hint="eastAsia" w:ascii="宋体" w:hAnsi="宋体" w:eastAsia="宋体" w:cs="仿宋"/>
          <w:b/>
          <w:bCs/>
          <w:color w:val="auto"/>
          <w:kern w:val="0"/>
          <w:sz w:val="44"/>
          <w:szCs w:val="44"/>
          <w:highlight w:val="none"/>
          <w:lang w:val="en-US" w:eastAsia="zh-CN"/>
        </w:rPr>
      </w:pPr>
      <w:r>
        <w:rPr>
          <w:rFonts w:hint="eastAsia" w:ascii="宋体" w:hAnsi="宋体" w:eastAsia="宋体" w:cs="仿宋"/>
          <w:b/>
          <w:bCs/>
          <w:color w:val="auto"/>
          <w:kern w:val="0"/>
          <w:sz w:val="44"/>
          <w:szCs w:val="44"/>
          <w:highlight w:val="none"/>
          <w:lang w:val="en-US" w:eastAsia="zh-CN"/>
        </w:rPr>
        <w:t>《健康大数据管理》微专业介绍</w:t>
      </w:r>
    </w:p>
    <w:p w14:paraId="18A8EE64">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一、教学方案概述</w:t>
      </w:r>
    </w:p>
    <w:p w14:paraId="042E7843">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本教学方案是依据甘肃卫生职业学院 “健康医疗大数据（生命健康）”微专业备案文件制定，旨在培养适应区域健康医疗数字化转型需求的复合型人才，聚焦“医学知识 + 大数据技术”交叉融合，通过系统化课程与实践，提升学生在健康数据采集、治理、分析及应用领域的专业能力。</w:t>
      </w:r>
    </w:p>
    <w:p w14:paraId="20D85D1A">
      <w:pPr>
        <w:adjustRightInd/>
        <w:snapToGrid/>
        <w:spacing w:line="480" w:lineRule="exact"/>
        <w:ind w:firstLine="562" w:firstLineChars="200"/>
        <w:jc w:val="both"/>
        <w:rPr>
          <w:rFonts w:hint="eastAsia"/>
          <w:sz w:val="32"/>
          <w:szCs w:val="32"/>
        </w:rPr>
      </w:pPr>
      <w:r>
        <w:rPr>
          <w:rFonts w:hint="eastAsia" w:ascii="黑体" w:hAnsi="黑体" w:eastAsia="黑体" w:cs="仿宋"/>
          <w:b/>
          <w:bCs/>
          <w:color w:val="auto"/>
          <w:kern w:val="0"/>
          <w:sz w:val="28"/>
          <w:szCs w:val="28"/>
          <w:highlight w:val="none"/>
          <w:lang w:eastAsia="zh-CN"/>
        </w:rPr>
        <w:t>二、培养目标</w:t>
      </w:r>
    </w:p>
    <w:p w14:paraId="7E6502CC">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培养德技并修、全面发展，具备医学数据理解、大数据工具应用、健康场景数据分析能力的复合型人才。能在医疗机构、健康企业完成数据</w:t>
      </w:r>
      <w:r>
        <w:rPr>
          <w:rFonts w:hint="eastAsia" w:ascii="仿宋" w:hAnsi="仿宋" w:eastAsia="仿宋" w:cs="仿宋"/>
          <w:b w:val="0"/>
          <w:color w:val="auto"/>
          <w:kern w:val="0"/>
          <w:sz w:val="28"/>
          <w:szCs w:val="28"/>
          <w:highlight w:val="none"/>
          <w:lang w:val="en-US" w:eastAsia="zh-CN"/>
        </w:rPr>
        <w:t>管理</w:t>
      </w:r>
      <w:r>
        <w:rPr>
          <w:rFonts w:hint="eastAsia" w:ascii="仿宋" w:hAnsi="仿宋" w:eastAsia="仿宋" w:cs="仿宋"/>
          <w:b w:val="0"/>
          <w:color w:val="auto"/>
          <w:kern w:val="0"/>
          <w:sz w:val="28"/>
          <w:szCs w:val="28"/>
          <w:highlight w:val="none"/>
          <w:lang w:eastAsia="zh-CN"/>
        </w:rPr>
        <w:t>、报告生成等任务，同时具备数据伦理意识与终身学习能力，助力区域医疗信息化建设与产业升级。</w:t>
      </w:r>
    </w:p>
    <w:p w14:paraId="090D5775">
      <w:pPr>
        <w:adjustRightInd/>
        <w:snapToGrid/>
        <w:spacing w:line="480" w:lineRule="exact"/>
        <w:ind w:firstLine="562" w:firstLineChars="200"/>
        <w:jc w:val="both"/>
        <w:rPr>
          <w:rFonts w:hint="eastAsia"/>
          <w:sz w:val="32"/>
          <w:szCs w:val="32"/>
        </w:rPr>
      </w:pPr>
      <w:r>
        <w:rPr>
          <w:rFonts w:hint="eastAsia" w:ascii="黑体" w:hAnsi="黑体" w:eastAsia="黑体" w:cs="仿宋"/>
          <w:b/>
          <w:bCs/>
          <w:color w:val="auto"/>
          <w:kern w:val="0"/>
          <w:sz w:val="28"/>
          <w:szCs w:val="28"/>
          <w:highlight w:val="none"/>
          <w:lang w:eastAsia="zh-CN"/>
        </w:rPr>
        <w:t>三、培养对象</w:t>
      </w:r>
    </w:p>
    <w:p w14:paraId="5A89BB06">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医药卫生大类、公共卫生与卫生管理、健康数据分析等。</w:t>
      </w:r>
    </w:p>
    <w:p w14:paraId="0C685C22">
      <w:pPr>
        <w:adjustRightInd/>
        <w:snapToGrid/>
        <w:spacing w:line="480" w:lineRule="exact"/>
        <w:ind w:firstLine="562" w:firstLineChars="200"/>
        <w:jc w:val="both"/>
        <w:rPr>
          <w:rFonts w:hint="eastAsia"/>
          <w:sz w:val="32"/>
          <w:szCs w:val="32"/>
        </w:rPr>
      </w:pPr>
      <w:r>
        <w:rPr>
          <w:rFonts w:hint="eastAsia" w:ascii="黑体" w:hAnsi="黑体" w:eastAsia="黑体" w:cs="仿宋"/>
          <w:b/>
          <w:bCs/>
          <w:color w:val="auto"/>
          <w:kern w:val="0"/>
          <w:sz w:val="28"/>
          <w:szCs w:val="28"/>
          <w:highlight w:val="none"/>
          <w:lang w:eastAsia="zh-CN"/>
        </w:rPr>
        <w:t>四、课程体系与教学内容</w:t>
      </w:r>
    </w:p>
    <w:p w14:paraId="073AFF66">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以“对接甘肃健康医疗产业需求、强化‘医学+数据’双能力”为核心，构建“基础夯实—技术赋能—场景实战”三层递进式课程体系，总学时约48学时，具体课程如下：</w:t>
      </w:r>
    </w:p>
    <w:tbl>
      <w:tblPr>
        <w:tblStyle w:val="10"/>
        <w:tblpPr w:leftFromText="180" w:rightFromText="180" w:vertAnchor="text" w:horzAnchor="page" w:tblpXSpec="center" w:tblpY="167"/>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8"/>
        <w:gridCol w:w="1532"/>
        <w:gridCol w:w="1508"/>
        <w:gridCol w:w="2150"/>
      </w:tblGrid>
      <w:tr w14:paraId="076B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shd w:val="clear" w:color="auto" w:fill="auto"/>
            <w:vAlign w:val="center"/>
          </w:tcPr>
          <w:p w14:paraId="58F6044F">
            <w:pPr>
              <w:widowControl/>
              <w:spacing w:line="240" w:lineRule="auto"/>
              <w:jc w:val="center"/>
              <w:rPr>
                <w:rFonts w:hint="eastAsia" w:ascii="宋体" w:hAnsi="宋体" w:eastAsia="宋体" w:cs="宋体"/>
                <w:b/>
                <w:bCs/>
                <w:color w:val="auto"/>
                <w:kern w:val="0"/>
                <w:sz w:val="21"/>
                <w:highlight w:val="none"/>
                <w:lang w:eastAsia="zh-CN"/>
              </w:rPr>
            </w:pPr>
            <w:r>
              <w:rPr>
                <w:rFonts w:hint="eastAsia" w:ascii="宋体" w:hAnsi="宋体" w:eastAsia="宋体" w:cs="宋体"/>
                <w:b/>
                <w:bCs/>
                <w:color w:val="auto"/>
                <w:kern w:val="0"/>
                <w:sz w:val="21"/>
                <w:highlight w:val="none"/>
                <w:lang w:eastAsia="zh-CN"/>
              </w:rPr>
              <w:t>课程名称</w:t>
            </w:r>
          </w:p>
        </w:tc>
        <w:tc>
          <w:tcPr>
            <w:tcW w:w="769" w:type="pct"/>
            <w:vAlign w:val="center"/>
          </w:tcPr>
          <w:p w14:paraId="71103A91">
            <w:pPr>
              <w:widowControl/>
              <w:spacing w:line="240" w:lineRule="auto"/>
              <w:jc w:val="center"/>
              <w:rPr>
                <w:rFonts w:hint="eastAsia" w:ascii="宋体" w:hAnsi="宋体" w:eastAsia="宋体" w:cs="宋体"/>
                <w:b/>
                <w:bCs/>
                <w:color w:val="auto"/>
                <w:kern w:val="0"/>
                <w:sz w:val="21"/>
                <w:highlight w:val="none"/>
                <w:lang w:eastAsia="zh-CN"/>
              </w:rPr>
            </w:pPr>
            <w:r>
              <w:rPr>
                <w:rFonts w:hint="eastAsia" w:ascii="宋体" w:hAnsi="宋体" w:eastAsia="宋体" w:cs="宋体"/>
                <w:b/>
                <w:bCs/>
                <w:color w:val="auto"/>
                <w:kern w:val="0"/>
                <w:sz w:val="21"/>
                <w:highlight w:val="none"/>
                <w:lang w:eastAsia="zh-CN"/>
              </w:rPr>
              <w:t>学时</w:t>
            </w:r>
          </w:p>
        </w:tc>
        <w:tc>
          <w:tcPr>
            <w:tcW w:w="757" w:type="pct"/>
            <w:vAlign w:val="center"/>
          </w:tcPr>
          <w:p w14:paraId="16A3ADC9">
            <w:pPr>
              <w:widowControl/>
              <w:spacing w:line="240" w:lineRule="auto"/>
              <w:jc w:val="center"/>
              <w:rPr>
                <w:rFonts w:hint="eastAsia" w:ascii="宋体" w:hAnsi="宋体" w:eastAsia="宋体" w:cs="宋体"/>
                <w:b/>
                <w:bCs/>
                <w:color w:val="auto"/>
                <w:kern w:val="0"/>
                <w:sz w:val="21"/>
                <w:highlight w:val="none"/>
                <w:lang w:eastAsia="zh-CN"/>
              </w:rPr>
            </w:pPr>
            <w:r>
              <w:rPr>
                <w:rFonts w:hint="eastAsia" w:ascii="宋体" w:hAnsi="宋体" w:eastAsia="宋体" w:cs="宋体"/>
                <w:b/>
                <w:bCs/>
                <w:color w:val="auto"/>
                <w:kern w:val="0"/>
                <w:sz w:val="21"/>
                <w:highlight w:val="none"/>
                <w:lang w:eastAsia="zh-CN"/>
              </w:rPr>
              <w:t>学分</w:t>
            </w:r>
          </w:p>
        </w:tc>
        <w:tc>
          <w:tcPr>
            <w:tcW w:w="1079" w:type="pct"/>
            <w:vAlign w:val="center"/>
          </w:tcPr>
          <w:p w14:paraId="204EBB15">
            <w:pPr>
              <w:widowControl/>
              <w:spacing w:line="240" w:lineRule="auto"/>
              <w:jc w:val="center"/>
              <w:rPr>
                <w:rFonts w:hint="eastAsia" w:ascii="宋体" w:hAnsi="宋体" w:eastAsia="宋体" w:cs="宋体"/>
                <w:b/>
                <w:bCs/>
                <w:color w:val="auto"/>
                <w:kern w:val="0"/>
                <w:sz w:val="21"/>
                <w:highlight w:val="none"/>
                <w:lang w:eastAsia="zh-CN"/>
              </w:rPr>
            </w:pPr>
            <w:r>
              <w:rPr>
                <w:rFonts w:hint="eastAsia" w:ascii="宋体" w:hAnsi="宋体" w:eastAsia="宋体" w:cs="宋体"/>
                <w:b/>
                <w:bCs/>
                <w:color w:val="auto"/>
                <w:kern w:val="0"/>
                <w:sz w:val="21"/>
                <w:highlight w:val="none"/>
                <w:lang w:eastAsia="zh-CN"/>
              </w:rPr>
              <w:t>开课学期</w:t>
            </w:r>
          </w:p>
        </w:tc>
      </w:tr>
      <w:tr w14:paraId="0CB0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502CFFD9">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大数据数学基础</w:t>
            </w:r>
          </w:p>
        </w:tc>
        <w:tc>
          <w:tcPr>
            <w:tcW w:w="769" w:type="pct"/>
            <w:vAlign w:val="center"/>
          </w:tcPr>
          <w:p w14:paraId="695FF741">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8</w:t>
            </w:r>
          </w:p>
        </w:tc>
        <w:tc>
          <w:tcPr>
            <w:tcW w:w="757" w:type="pct"/>
            <w:vAlign w:val="center"/>
          </w:tcPr>
          <w:p w14:paraId="219D6722">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0.5</w:t>
            </w:r>
          </w:p>
        </w:tc>
        <w:tc>
          <w:tcPr>
            <w:tcW w:w="1079" w:type="pct"/>
            <w:vAlign w:val="center"/>
          </w:tcPr>
          <w:p w14:paraId="2E8A5A1F">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4～6学期</w:t>
            </w:r>
          </w:p>
        </w:tc>
      </w:tr>
      <w:tr w14:paraId="6335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5A8CEFD4">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医学信息技术</w:t>
            </w:r>
          </w:p>
        </w:tc>
        <w:tc>
          <w:tcPr>
            <w:tcW w:w="769" w:type="pct"/>
            <w:vAlign w:val="center"/>
          </w:tcPr>
          <w:p w14:paraId="6BD97D3E">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8</w:t>
            </w:r>
          </w:p>
        </w:tc>
        <w:tc>
          <w:tcPr>
            <w:tcW w:w="757" w:type="pct"/>
            <w:vAlign w:val="center"/>
          </w:tcPr>
          <w:p w14:paraId="11A69C93">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0.5</w:t>
            </w:r>
          </w:p>
        </w:tc>
        <w:tc>
          <w:tcPr>
            <w:tcW w:w="1079" w:type="pct"/>
            <w:vAlign w:val="center"/>
          </w:tcPr>
          <w:p w14:paraId="3FD1805B">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4～6学期</w:t>
            </w:r>
          </w:p>
        </w:tc>
      </w:tr>
      <w:tr w14:paraId="4151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2696135D">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应用软件需求分析技术</w:t>
            </w:r>
          </w:p>
        </w:tc>
        <w:tc>
          <w:tcPr>
            <w:tcW w:w="769" w:type="pct"/>
            <w:vAlign w:val="center"/>
          </w:tcPr>
          <w:p w14:paraId="66718AEF">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8</w:t>
            </w:r>
          </w:p>
        </w:tc>
        <w:tc>
          <w:tcPr>
            <w:tcW w:w="757" w:type="pct"/>
            <w:vAlign w:val="center"/>
          </w:tcPr>
          <w:p w14:paraId="2CEBDCD9">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0.5</w:t>
            </w:r>
          </w:p>
        </w:tc>
        <w:tc>
          <w:tcPr>
            <w:tcW w:w="1079" w:type="pct"/>
            <w:vAlign w:val="center"/>
          </w:tcPr>
          <w:p w14:paraId="6F844B7E">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4～6学期</w:t>
            </w:r>
          </w:p>
        </w:tc>
      </w:tr>
      <w:tr w14:paraId="384B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5F2EB6CB">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基本公共卫生服务</w:t>
            </w:r>
          </w:p>
        </w:tc>
        <w:tc>
          <w:tcPr>
            <w:tcW w:w="769" w:type="pct"/>
            <w:vAlign w:val="center"/>
          </w:tcPr>
          <w:p w14:paraId="1E276310">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8</w:t>
            </w:r>
          </w:p>
        </w:tc>
        <w:tc>
          <w:tcPr>
            <w:tcW w:w="757" w:type="pct"/>
            <w:vAlign w:val="center"/>
          </w:tcPr>
          <w:p w14:paraId="68102411">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0.5</w:t>
            </w:r>
          </w:p>
        </w:tc>
        <w:tc>
          <w:tcPr>
            <w:tcW w:w="1079" w:type="pct"/>
            <w:vAlign w:val="center"/>
          </w:tcPr>
          <w:p w14:paraId="4E449669">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4～6学期</w:t>
            </w:r>
          </w:p>
        </w:tc>
      </w:tr>
      <w:tr w14:paraId="3F72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36E81294">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卫生健康数据统计</w:t>
            </w:r>
          </w:p>
        </w:tc>
        <w:tc>
          <w:tcPr>
            <w:tcW w:w="769" w:type="pct"/>
            <w:vAlign w:val="center"/>
          </w:tcPr>
          <w:p w14:paraId="001D7A88">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16</w:t>
            </w:r>
          </w:p>
        </w:tc>
        <w:tc>
          <w:tcPr>
            <w:tcW w:w="757" w:type="pct"/>
            <w:vAlign w:val="center"/>
          </w:tcPr>
          <w:p w14:paraId="05F260D1">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1</w:t>
            </w:r>
          </w:p>
        </w:tc>
        <w:tc>
          <w:tcPr>
            <w:tcW w:w="1079" w:type="pct"/>
            <w:vAlign w:val="center"/>
          </w:tcPr>
          <w:p w14:paraId="3E78E840">
            <w:pPr>
              <w:widowControl/>
              <w:spacing w:line="240" w:lineRule="auto"/>
              <w:jc w:val="center"/>
              <w:rPr>
                <w:rFonts w:hint="eastAsia" w:ascii="宋体" w:hAnsi="宋体" w:eastAsia="宋体" w:cs="宋体"/>
                <w:b w:val="0"/>
                <w:color w:val="auto"/>
                <w:kern w:val="0"/>
                <w:sz w:val="21"/>
                <w:highlight w:val="none"/>
                <w:lang w:eastAsia="zh-CN"/>
              </w:rPr>
            </w:pPr>
            <w:r>
              <w:rPr>
                <w:rFonts w:hint="eastAsia" w:ascii="宋体" w:hAnsi="宋体" w:eastAsia="宋体" w:cs="宋体"/>
                <w:b w:val="0"/>
                <w:color w:val="auto"/>
                <w:kern w:val="0"/>
                <w:sz w:val="21"/>
                <w:highlight w:val="none"/>
                <w:lang w:eastAsia="zh-CN"/>
              </w:rPr>
              <w:t>4～6学期</w:t>
            </w:r>
          </w:p>
        </w:tc>
      </w:tr>
    </w:tbl>
    <w:p w14:paraId="034F1B36">
      <w:pPr>
        <w:rPr>
          <w:rFonts w:hint="eastAsia"/>
          <w:sz w:val="32"/>
          <w:szCs w:val="32"/>
        </w:rPr>
      </w:pPr>
      <w:r>
        <w:rPr>
          <w:rFonts w:hint="eastAsia" w:ascii="黑体" w:hAnsi="黑体" w:eastAsia="黑体" w:cs="仿宋"/>
          <w:b/>
          <w:bCs/>
          <w:color w:val="auto"/>
          <w:kern w:val="0"/>
          <w:sz w:val="28"/>
          <w:szCs w:val="28"/>
          <w:highlight w:val="none"/>
          <w:lang w:eastAsia="zh-CN"/>
        </w:rPr>
        <w:t>五、教学方法</w:t>
      </w:r>
    </w:p>
    <w:p w14:paraId="4C56E3F3">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校企双元教学：与兰州新区文曲社区共建培养模式，引入基层卫生数据治理、医院信息系统运维等真实项目，由企业</w:t>
      </w:r>
      <w:r>
        <w:rPr>
          <w:rFonts w:hint="eastAsia" w:ascii="仿宋" w:hAnsi="仿宋" w:eastAsia="仿宋" w:cs="仿宋"/>
          <w:b w:val="0"/>
          <w:color w:val="auto"/>
          <w:kern w:val="0"/>
          <w:sz w:val="28"/>
          <w:szCs w:val="28"/>
          <w:highlight w:val="none"/>
          <w:lang w:val="en-US" w:eastAsia="zh-CN"/>
        </w:rPr>
        <w:t>管理人员</w:t>
      </w:r>
      <w:r>
        <w:rPr>
          <w:rFonts w:hint="eastAsia" w:ascii="仿宋" w:hAnsi="仿宋" w:eastAsia="仿宋" w:cs="仿宋"/>
          <w:b w:val="0"/>
          <w:color w:val="auto"/>
          <w:kern w:val="0"/>
          <w:sz w:val="28"/>
          <w:szCs w:val="28"/>
          <w:highlight w:val="none"/>
          <w:lang w:eastAsia="zh-CN"/>
        </w:rPr>
        <w:t>与学校教师共同</w:t>
      </w:r>
      <w:r>
        <w:rPr>
          <w:rFonts w:hint="eastAsia" w:ascii="仿宋" w:hAnsi="仿宋" w:eastAsia="仿宋" w:cs="仿宋"/>
          <w:b w:val="0"/>
          <w:color w:val="auto"/>
          <w:kern w:val="0"/>
          <w:sz w:val="28"/>
          <w:szCs w:val="28"/>
          <w:highlight w:val="none"/>
          <w:lang w:val="en-US" w:eastAsia="zh-CN"/>
        </w:rPr>
        <w:t>培养</w:t>
      </w:r>
      <w:r>
        <w:rPr>
          <w:rFonts w:hint="eastAsia" w:ascii="仿宋" w:hAnsi="仿宋" w:eastAsia="仿宋" w:cs="仿宋"/>
          <w:b w:val="0"/>
          <w:color w:val="auto"/>
          <w:kern w:val="0"/>
          <w:sz w:val="28"/>
          <w:szCs w:val="28"/>
          <w:highlight w:val="none"/>
          <w:lang w:eastAsia="zh-CN"/>
        </w:rPr>
        <w:t>。</w:t>
      </w:r>
    </w:p>
    <w:p w14:paraId="1CDD1557">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任务驱动学习：以“数据采集－ 清洗－分析－可视化”为主线，设置病历数据处理、公共卫生指标计算等实战任务，通过完成具体任务提升学生的实践能力。</w:t>
      </w:r>
    </w:p>
    <w:p w14:paraId="28ED6F3A">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混合式教学：线上学习理论知识，线下进行技能训练，企业导师定期分享行业前沿动态，实现理论与实践的有机结合。</w:t>
      </w:r>
    </w:p>
    <w:p w14:paraId="4A549CEE">
      <w:pPr>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六、评价体系</w:t>
      </w:r>
    </w:p>
    <w:p w14:paraId="16DEF41A">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过程性评价：包括课堂参与度、作业完成情况、阶段性实训报告等，全面考查学生在学习过程中的表现。</w:t>
      </w:r>
    </w:p>
    <w:p w14:paraId="21EACD79">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终结性评价：涵盖理论考试、评价等，检验学生对知识的掌握程度和实际应用能力。</w:t>
      </w:r>
    </w:p>
    <w:p w14:paraId="6340B5F7">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动态反馈机制：开展企业、学生双维度调研，根据区域产业需求和学生反馈及时调整课程内容，确保教学质量。</w:t>
      </w:r>
    </w:p>
    <w:p w14:paraId="68F13BD7">
      <w:pPr>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七、教学资源与条件保障</w:t>
      </w:r>
    </w:p>
    <w:p w14:paraId="7BFA3152">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专业队伍：教学团队汇聚医学信息、智慧医疗等跨学科领域</w:t>
      </w:r>
      <w:r>
        <w:rPr>
          <w:rFonts w:hint="eastAsia" w:ascii="仿宋" w:hAnsi="仿宋" w:eastAsia="仿宋" w:cs="仿宋"/>
          <w:b w:val="0"/>
          <w:color w:val="auto"/>
          <w:kern w:val="0"/>
          <w:sz w:val="28"/>
          <w:szCs w:val="28"/>
          <w:highlight w:val="none"/>
          <w:lang w:val="en-US" w:eastAsia="zh-CN"/>
        </w:rPr>
        <w:t>资深教师</w:t>
      </w:r>
      <w:r>
        <w:rPr>
          <w:rFonts w:hint="eastAsia" w:ascii="仿宋" w:hAnsi="仿宋" w:eastAsia="仿宋" w:cs="仿宋"/>
          <w:b w:val="0"/>
          <w:color w:val="auto"/>
          <w:kern w:val="0"/>
          <w:sz w:val="28"/>
          <w:szCs w:val="28"/>
          <w:highlight w:val="none"/>
          <w:lang w:eastAsia="zh-CN"/>
        </w:rPr>
        <w:t>，成员包括计算机科学专业教师、医疗健康领域资深学者与临床医师、社区行政管理行业专家，能为学生提供精准化、高质量的教学与实践指导。</w:t>
      </w:r>
    </w:p>
    <w:p w14:paraId="7D20032C">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医疗信息基础：构建智慧教学体系，具备大数据采集、统计、分析的软件基础；与社区合作，为学生提供了解基层医疗情况、提升实践能力的平台。</w:t>
      </w:r>
    </w:p>
    <w:p w14:paraId="493697B7">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质量监控：通过毕业生跟踪调查、用人单位满意度测评等手段持续优化培养方案，确保人才培养与行业需求动态匹配。</w:t>
      </w:r>
    </w:p>
    <w:p w14:paraId="7B35573E">
      <w:pPr>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八、教学实施安排</w:t>
      </w:r>
    </w:p>
    <w:p w14:paraId="10105A84">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本微专业学制1年，开课时间为4-6学期，具体教学实施按照课程体系中的开课学期安排进行，实现“知识学习—技能训练—岗位应用”的无缝衔接。</w:t>
      </w:r>
    </w:p>
    <w:p w14:paraId="7C4207DB">
      <w:pPr>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九、就业方向</w:t>
      </w:r>
    </w:p>
    <w:p w14:paraId="47A06182">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学生毕业后可在医疗机构、生物医药及公共卫生等多个领域就业，从事数据采集、清洗、可视化、</w:t>
      </w:r>
      <w:r>
        <w:rPr>
          <w:rFonts w:hint="eastAsia" w:ascii="仿宋" w:hAnsi="仿宋" w:eastAsia="仿宋" w:cs="仿宋"/>
          <w:b w:val="0"/>
          <w:color w:val="auto"/>
          <w:kern w:val="0"/>
          <w:sz w:val="28"/>
          <w:szCs w:val="28"/>
          <w:highlight w:val="none"/>
          <w:lang w:val="en-US" w:eastAsia="zh-CN"/>
        </w:rPr>
        <w:t>设计、管理</w:t>
      </w:r>
      <w:r>
        <w:rPr>
          <w:rFonts w:hint="eastAsia" w:ascii="仿宋" w:hAnsi="仿宋" w:eastAsia="仿宋" w:cs="仿宋"/>
          <w:b w:val="0"/>
          <w:color w:val="auto"/>
          <w:kern w:val="0"/>
          <w:sz w:val="28"/>
          <w:szCs w:val="28"/>
          <w:highlight w:val="none"/>
          <w:lang w:eastAsia="zh-CN"/>
        </w:rPr>
        <w:t>等工作，满足区域健康医疗数字化转型对复合型人才的需求。</w:t>
      </w:r>
    </w:p>
    <w:p w14:paraId="29D27DA7">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32"/>
          <w:lang w:val="en-US" w:eastAsia="zh-CN"/>
        </w:rPr>
      </w:pPr>
    </w:p>
    <w:p w14:paraId="2C008DBF">
      <w:pPr>
        <w:adjustRightInd/>
        <w:snapToGrid/>
        <w:spacing w:after="120" w:afterLines="50" w:line="240" w:lineRule="auto"/>
        <w:jc w:val="center"/>
        <w:rPr>
          <w:rFonts w:hint="eastAsia" w:ascii="宋体" w:hAnsi="宋体" w:eastAsia="宋体" w:cs="仿宋"/>
          <w:b/>
          <w:bCs/>
          <w:color w:val="auto"/>
          <w:kern w:val="0"/>
          <w:sz w:val="44"/>
          <w:szCs w:val="44"/>
          <w:highlight w:val="none"/>
          <w:lang w:val="en-US" w:eastAsia="zh-CN"/>
        </w:rPr>
      </w:pPr>
      <w:r>
        <w:rPr>
          <w:rFonts w:hint="eastAsia" w:ascii="宋体" w:hAnsi="宋体" w:eastAsia="宋体" w:cs="仿宋"/>
          <w:b/>
          <w:bCs/>
          <w:color w:val="auto"/>
          <w:kern w:val="0"/>
          <w:sz w:val="44"/>
          <w:szCs w:val="44"/>
          <w:highlight w:val="none"/>
          <w:lang w:val="en-US" w:eastAsia="zh-CN"/>
        </w:rPr>
        <w:t>《临床医学（病理诊断）》微专业介绍</w:t>
      </w:r>
    </w:p>
    <w:p w14:paraId="6F422564">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bookmarkStart w:id="53" w:name="heading_0"/>
      <w:r>
        <w:rPr>
          <w:rFonts w:hint="eastAsia" w:ascii="黑体" w:hAnsi="黑体" w:eastAsia="黑体" w:cs="仿宋"/>
          <w:b/>
          <w:bCs/>
          <w:color w:val="auto"/>
          <w:kern w:val="0"/>
          <w:sz w:val="28"/>
          <w:szCs w:val="28"/>
          <w:highlight w:val="none"/>
          <w:lang w:eastAsia="zh-CN"/>
        </w:rPr>
        <w:t>一、教学目标</w:t>
      </w:r>
      <w:bookmarkEnd w:id="53"/>
    </w:p>
    <w:p w14:paraId="5BEE65AE">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bookmarkStart w:id="54" w:name="heading_1"/>
      <w:r>
        <w:rPr>
          <w:rFonts w:hint="eastAsia" w:ascii="仿宋" w:hAnsi="仿宋" w:eastAsia="仿宋" w:cs="仿宋"/>
          <w:b w:val="0"/>
          <w:color w:val="auto"/>
          <w:kern w:val="0"/>
          <w:sz w:val="28"/>
          <w:szCs w:val="28"/>
          <w:highlight w:val="none"/>
          <w:lang w:eastAsia="zh-CN"/>
        </w:rPr>
        <w:t>（一）知识目标</w:t>
      </w:r>
      <w:bookmarkEnd w:id="54"/>
    </w:p>
    <w:p w14:paraId="54CE703D">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掌握基层临床高频系统的组织病理、细胞病理基础理论，熟悉常见病原微生物、免疫性疾病的病理特征，理解病理诊断与临床诊疗的关联逻辑。</w:t>
      </w:r>
    </w:p>
    <w:p w14:paraId="6DC13C74">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掌握病理标本取材、制片、染色等常规检验技术原理，了解AI+数字病理诊断的基础理论和基层适配的数字病理设备操作知识。</w:t>
      </w:r>
    </w:p>
    <w:p w14:paraId="2C39A7C1">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熟悉基层医疗机构病理诊断的行业规范、质量控制要求，掌握常见疾病病理诊断的鉴别要点和诊断思路。</w:t>
      </w:r>
    </w:p>
    <w:p w14:paraId="4E65F4B6">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bookmarkStart w:id="55" w:name="heading_2"/>
      <w:r>
        <w:rPr>
          <w:rFonts w:hint="eastAsia" w:ascii="仿宋" w:hAnsi="仿宋" w:eastAsia="仿宋" w:cs="仿宋"/>
          <w:b w:val="0"/>
          <w:color w:val="auto"/>
          <w:kern w:val="0"/>
          <w:sz w:val="28"/>
          <w:szCs w:val="28"/>
          <w:highlight w:val="none"/>
          <w:lang w:eastAsia="zh-CN"/>
        </w:rPr>
        <w:t>（二）技能目标</w:t>
      </w:r>
      <w:bookmarkEnd w:id="55"/>
    </w:p>
    <w:p w14:paraId="07EDBDDE">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能独立完成基层临床常见病理标本的取材、制片、染色等实操操作，具备典型组织病理切片、细胞病理标本的阅片和初筛能力。</w:t>
      </w:r>
    </w:p>
    <w:p w14:paraId="4DDB0C82">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能熟练使用基层数字化病理设备，掌握AI数字病理切片的基础浏览、分析方法，可完成简单的病理诊断辅助报告撰写。</w:t>
      </w:r>
    </w:p>
    <w:p w14:paraId="340F8E88">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具备病理与临床整合实践能力，能配合临床完成病理诊断协同工作，处理基层病理诊断岗位常见的标本混淆等应急情况。</w:t>
      </w:r>
    </w:p>
    <w:p w14:paraId="213DCE6C">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掌握病理诊断相关资料的整理、管理方法，能运用病理诊断知识为临床诊疗提供基础参考建议。</w:t>
      </w:r>
    </w:p>
    <w:p w14:paraId="560143E0">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bookmarkStart w:id="56" w:name="heading_3"/>
      <w:r>
        <w:rPr>
          <w:rFonts w:hint="eastAsia" w:ascii="仿宋" w:hAnsi="仿宋" w:eastAsia="仿宋" w:cs="仿宋"/>
          <w:b w:val="0"/>
          <w:color w:val="auto"/>
          <w:kern w:val="0"/>
          <w:sz w:val="28"/>
          <w:szCs w:val="28"/>
          <w:highlight w:val="none"/>
          <w:lang w:eastAsia="zh-CN"/>
        </w:rPr>
        <w:t>（三）情感目标</w:t>
      </w:r>
      <w:bookmarkEnd w:id="56"/>
    </w:p>
    <w:p w14:paraId="04B4AF18">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树立“精准诊断、服务临床”的职业伦理观，培养对病理诊断工作的严谨性和敬畏心，形成注重细节、求真务实的专业态度。</w:t>
      </w:r>
    </w:p>
    <w:p w14:paraId="14F9CB4D">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建立医教协同、岗课对接的职业发展意识，培育跨学科协作的服务精神，树立持续学习适应精准医疗和数字病理发展的理念。</w:t>
      </w:r>
    </w:p>
    <w:p w14:paraId="7679AFB8">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增强基层医疗服务的责任感，立足基层岗位需求，培养解决病理诊断实际问题的职业素养。</w:t>
      </w:r>
    </w:p>
    <w:p w14:paraId="3AA576F9">
      <w:pPr>
        <w:spacing w:before="320" w:after="120" w:line="288" w:lineRule="auto"/>
        <w:ind w:left="0" w:firstLine="562" w:firstLineChars="200"/>
        <w:jc w:val="left"/>
        <w:outlineLvl w:val="1"/>
      </w:pPr>
      <w:bookmarkStart w:id="57" w:name="heading_4"/>
      <w:r>
        <w:rPr>
          <w:rFonts w:hint="eastAsia" w:ascii="黑体" w:hAnsi="黑体" w:eastAsia="黑体" w:cs="仿宋"/>
          <w:b/>
          <w:bCs/>
          <w:color w:val="auto"/>
          <w:kern w:val="0"/>
          <w:sz w:val="28"/>
          <w:szCs w:val="28"/>
          <w:highlight w:val="none"/>
          <w:lang w:eastAsia="zh-CN"/>
        </w:rPr>
        <w:t>二、教学内容</w:t>
      </w:r>
      <w:bookmarkEnd w:id="57"/>
    </w:p>
    <w:tbl>
      <w:tblPr>
        <w:tblStyle w:val="9"/>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02"/>
        <w:gridCol w:w="1354"/>
        <w:gridCol w:w="1528"/>
        <w:gridCol w:w="1528"/>
        <w:gridCol w:w="3767"/>
      </w:tblGrid>
      <w:tr w14:paraId="31B7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tcMar>
              <w:top w:w="60" w:type="dxa"/>
              <w:left w:w="120" w:type="dxa"/>
              <w:bottom w:w="30" w:type="dxa"/>
              <w:right w:w="120" w:type="dxa"/>
            </w:tcMar>
          </w:tcPr>
          <w:p w14:paraId="1B4CFDF0">
            <w:pPr>
              <w:widowControl/>
              <w:spacing w:line="240" w:lineRule="auto"/>
              <w:jc w:val="center"/>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课程名称</w:t>
            </w:r>
          </w:p>
        </w:tc>
        <w:tc>
          <w:tcPr>
            <w:tcW w:w="1354" w:type="dxa"/>
            <w:tcMar>
              <w:top w:w="60" w:type="dxa"/>
              <w:left w:w="120" w:type="dxa"/>
              <w:bottom w:w="30" w:type="dxa"/>
              <w:right w:w="120" w:type="dxa"/>
            </w:tcMar>
          </w:tcPr>
          <w:p w14:paraId="25A2F5DB">
            <w:pPr>
              <w:widowControl/>
              <w:spacing w:line="240" w:lineRule="auto"/>
              <w:jc w:val="center"/>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总学时</w:t>
            </w:r>
          </w:p>
        </w:tc>
        <w:tc>
          <w:tcPr>
            <w:tcW w:w="1528" w:type="dxa"/>
            <w:tcMar>
              <w:top w:w="60" w:type="dxa"/>
              <w:left w:w="120" w:type="dxa"/>
              <w:bottom w:w="30" w:type="dxa"/>
              <w:right w:w="120" w:type="dxa"/>
            </w:tcMar>
          </w:tcPr>
          <w:p w14:paraId="7F825F38">
            <w:pPr>
              <w:widowControl/>
              <w:spacing w:line="240" w:lineRule="auto"/>
              <w:jc w:val="center"/>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学时</w:t>
            </w:r>
          </w:p>
        </w:tc>
        <w:tc>
          <w:tcPr>
            <w:tcW w:w="1528" w:type="dxa"/>
            <w:tcMar>
              <w:top w:w="60" w:type="dxa"/>
              <w:left w:w="120" w:type="dxa"/>
              <w:bottom w:w="30" w:type="dxa"/>
              <w:right w:w="120" w:type="dxa"/>
            </w:tcMar>
          </w:tcPr>
          <w:p w14:paraId="2D3048A8">
            <w:pPr>
              <w:widowControl/>
              <w:spacing w:line="240" w:lineRule="auto"/>
              <w:jc w:val="center"/>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授课方式</w:t>
            </w:r>
          </w:p>
        </w:tc>
        <w:tc>
          <w:tcPr>
            <w:tcW w:w="3767" w:type="dxa"/>
            <w:tcMar>
              <w:top w:w="60" w:type="dxa"/>
              <w:left w:w="120" w:type="dxa"/>
              <w:bottom w:w="30" w:type="dxa"/>
              <w:right w:w="120" w:type="dxa"/>
            </w:tcMar>
          </w:tcPr>
          <w:p w14:paraId="4F191834">
            <w:pPr>
              <w:widowControl/>
              <w:spacing w:line="240" w:lineRule="auto"/>
              <w:jc w:val="center"/>
              <w:rPr>
                <w:rFonts w:hint="eastAsia" w:ascii="仿宋_GB2312" w:eastAsia="仿宋_GB2312" w:hAnsiTheme="minorHAnsi" w:cstheme="minorBidi"/>
                <w:b/>
                <w:bCs/>
                <w:kern w:val="2"/>
                <w:sz w:val="24"/>
                <w:szCs w:val="24"/>
                <w:lang w:val="en-US" w:eastAsia="zh-CN" w:bidi="ar-SA"/>
              </w:rPr>
            </w:pPr>
            <w:r>
              <w:rPr>
                <w:rFonts w:hint="eastAsia" w:ascii="仿宋_GB2312" w:eastAsia="仿宋_GB2312" w:hAnsiTheme="minorHAnsi" w:cstheme="minorBidi"/>
                <w:b/>
                <w:bCs/>
                <w:kern w:val="2"/>
                <w:sz w:val="24"/>
                <w:szCs w:val="24"/>
                <w:lang w:val="en-US" w:eastAsia="zh-CN" w:bidi="ar-SA"/>
              </w:rPr>
              <w:t>授课内容</w:t>
            </w:r>
          </w:p>
        </w:tc>
      </w:tr>
      <w:tr w14:paraId="4B14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restart"/>
            <w:tcMar>
              <w:top w:w="60" w:type="dxa"/>
              <w:left w:w="120" w:type="dxa"/>
              <w:bottom w:w="30" w:type="dxa"/>
              <w:right w:w="120" w:type="dxa"/>
            </w:tcMar>
            <w:vAlign w:val="center"/>
          </w:tcPr>
          <w:p w14:paraId="7D2B545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《病理学基础（组织病理、细胞病理）》</w:t>
            </w:r>
          </w:p>
        </w:tc>
        <w:tc>
          <w:tcPr>
            <w:tcW w:w="1354" w:type="dxa"/>
            <w:vMerge w:val="restart"/>
            <w:tcMar>
              <w:top w:w="60" w:type="dxa"/>
              <w:left w:w="120" w:type="dxa"/>
              <w:bottom w:w="30" w:type="dxa"/>
              <w:right w:w="120" w:type="dxa"/>
            </w:tcMar>
            <w:vAlign w:val="center"/>
          </w:tcPr>
          <w:p w14:paraId="5DD87A04">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8</w:t>
            </w:r>
          </w:p>
        </w:tc>
        <w:tc>
          <w:tcPr>
            <w:tcW w:w="1528" w:type="dxa"/>
            <w:tcMar>
              <w:top w:w="60" w:type="dxa"/>
              <w:left w:w="120" w:type="dxa"/>
              <w:bottom w:w="30" w:type="dxa"/>
              <w:right w:w="120" w:type="dxa"/>
            </w:tcMar>
            <w:vAlign w:val="center"/>
          </w:tcPr>
          <w:p w14:paraId="044B24A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w:t>
            </w:r>
          </w:p>
        </w:tc>
        <w:tc>
          <w:tcPr>
            <w:tcW w:w="1528" w:type="dxa"/>
            <w:tcMar>
              <w:top w:w="60" w:type="dxa"/>
              <w:left w:w="120" w:type="dxa"/>
              <w:bottom w:w="30" w:type="dxa"/>
              <w:right w:w="120" w:type="dxa"/>
            </w:tcMar>
            <w:vAlign w:val="center"/>
          </w:tcPr>
          <w:p w14:paraId="39FFB0D3">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0FC9B45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组织病理基础：人体呼吸、消化、泌尿、生殖等基层高频系统正常组织形态，常见病变组织病理改变</w:t>
            </w:r>
          </w:p>
        </w:tc>
      </w:tr>
      <w:tr w14:paraId="299F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5809765B">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59204947">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7036EEE2">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w:t>
            </w:r>
          </w:p>
        </w:tc>
        <w:tc>
          <w:tcPr>
            <w:tcW w:w="1528" w:type="dxa"/>
            <w:tcMar>
              <w:top w:w="60" w:type="dxa"/>
              <w:left w:w="120" w:type="dxa"/>
              <w:bottom w:w="30" w:type="dxa"/>
              <w:right w:w="120" w:type="dxa"/>
            </w:tcMar>
            <w:vAlign w:val="center"/>
          </w:tcPr>
          <w:p w14:paraId="578DCEA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5DF7F2C7">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细胞病理基础：临床常用细胞标本正常形态、异型细胞特征，良恶性细胞鉴别要点</w:t>
            </w:r>
          </w:p>
        </w:tc>
      </w:tr>
      <w:tr w14:paraId="5516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286F343B">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44992C89">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1DE5B589">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4</w:t>
            </w:r>
          </w:p>
        </w:tc>
        <w:tc>
          <w:tcPr>
            <w:tcW w:w="1528" w:type="dxa"/>
            <w:tcMar>
              <w:top w:w="60" w:type="dxa"/>
              <w:left w:w="120" w:type="dxa"/>
              <w:bottom w:w="30" w:type="dxa"/>
              <w:right w:w="120" w:type="dxa"/>
            </w:tcMar>
            <w:vAlign w:val="center"/>
          </w:tcPr>
          <w:p w14:paraId="233373F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线下实训</w:t>
            </w:r>
          </w:p>
        </w:tc>
        <w:tc>
          <w:tcPr>
            <w:tcW w:w="3767" w:type="dxa"/>
            <w:tcMar>
              <w:top w:w="60" w:type="dxa"/>
              <w:left w:w="120" w:type="dxa"/>
              <w:bottom w:w="30" w:type="dxa"/>
              <w:right w:w="120" w:type="dxa"/>
            </w:tcMar>
          </w:tcPr>
          <w:p w14:paraId="22B0E935">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病理切片阅片实训、细胞病理标本筛查与识别案例分析实训</w:t>
            </w:r>
          </w:p>
        </w:tc>
      </w:tr>
      <w:tr w14:paraId="468E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restart"/>
            <w:tcMar>
              <w:top w:w="60" w:type="dxa"/>
              <w:left w:w="120" w:type="dxa"/>
              <w:bottom w:w="30" w:type="dxa"/>
              <w:right w:w="120" w:type="dxa"/>
            </w:tcMar>
            <w:vAlign w:val="center"/>
          </w:tcPr>
          <w:p w14:paraId="46829F4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《医学微生物与免疫学（病理模块）》</w:t>
            </w:r>
          </w:p>
        </w:tc>
        <w:tc>
          <w:tcPr>
            <w:tcW w:w="1354" w:type="dxa"/>
            <w:vMerge w:val="restart"/>
            <w:tcMar>
              <w:top w:w="60" w:type="dxa"/>
              <w:left w:w="120" w:type="dxa"/>
              <w:bottom w:w="30" w:type="dxa"/>
              <w:right w:w="120" w:type="dxa"/>
            </w:tcMar>
            <w:vAlign w:val="center"/>
          </w:tcPr>
          <w:p w14:paraId="3E1C3469">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8</w:t>
            </w:r>
          </w:p>
        </w:tc>
        <w:tc>
          <w:tcPr>
            <w:tcW w:w="1528" w:type="dxa"/>
            <w:tcMar>
              <w:top w:w="60" w:type="dxa"/>
              <w:left w:w="120" w:type="dxa"/>
              <w:bottom w:w="30" w:type="dxa"/>
              <w:right w:w="120" w:type="dxa"/>
            </w:tcMar>
            <w:vAlign w:val="center"/>
          </w:tcPr>
          <w:p w14:paraId="442B1466">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3</w:t>
            </w:r>
          </w:p>
        </w:tc>
        <w:tc>
          <w:tcPr>
            <w:tcW w:w="1528" w:type="dxa"/>
            <w:tcMar>
              <w:top w:w="60" w:type="dxa"/>
              <w:left w:w="120" w:type="dxa"/>
              <w:bottom w:w="30" w:type="dxa"/>
              <w:right w:w="120" w:type="dxa"/>
            </w:tcMar>
            <w:vAlign w:val="center"/>
          </w:tcPr>
          <w:p w14:paraId="320CBDAF">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3A21BFE5">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病原微生物的病理特征及相关疾病病理诊断理论</w:t>
            </w:r>
          </w:p>
        </w:tc>
      </w:tr>
      <w:tr w14:paraId="3884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72E3F11C">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7C276F43">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6410D3D4">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3</w:t>
            </w:r>
          </w:p>
        </w:tc>
        <w:tc>
          <w:tcPr>
            <w:tcW w:w="1528" w:type="dxa"/>
            <w:tcMar>
              <w:top w:w="60" w:type="dxa"/>
              <w:left w:w="120" w:type="dxa"/>
              <w:bottom w:w="30" w:type="dxa"/>
              <w:right w:w="120" w:type="dxa"/>
            </w:tcMar>
            <w:vAlign w:val="center"/>
          </w:tcPr>
          <w:p w14:paraId="715F22DB">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0D1D4477">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免疫性疾病的病理特征及病理诊断支撑知识</w:t>
            </w:r>
          </w:p>
        </w:tc>
      </w:tr>
      <w:tr w14:paraId="41E1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041A458B">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6DD181A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2F6878C3">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w:t>
            </w:r>
          </w:p>
        </w:tc>
        <w:tc>
          <w:tcPr>
            <w:tcW w:w="1528" w:type="dxa"/>
            <w:tcMar>
              <w:top w:w="60" w:type="dxa"/>
              <w:left w:w="120" w:type="dxa"/>
              <w:bottom w:w="30" w:type="dxa"/>
              <w:right w:w="120" w:type="dxa"/>
            </w:tcMar>
            <w:vAlign w:val="center"/>
          </w:tcPr>
          <w:p w14:paraId="638926B4">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线下实训</w:t>
            </w:r>
          </w:p>
        </w:tc>
        <w:tc>
          <w:tcPr>
            <w:tcW w:w="3767" w:type="dxa"/>
            <w:tcMar>
              <w:top w:w="60" w:type="dxa"/>
              <w:left w:w="120" w:type="dxa"/>
              <w:bottom w:w="30" w:type="dxa"/>
              <w:right w:w="120" w:type="dxa"/>
            </w:tcMar>
          </w:tcPr>
          <w:p w14:paraId="531F7A30">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感染性、免疫性疾病病理标本案例分析与阅片实训</w:t>
            </w:r>
          </w:p>
        </w:tc>
      </w:tr>
      <w:tr w14:paraId="6E30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restart"/>
            <w:tcMar>
              <w:top w:w="60" w:type="dxa"/>
              <w:left w:w="120" w:type="dxa"/>
              <w:bottom w:w="30" w:type="dxa"/>
              <w:right w:w="120" w:type="dxa"/>
            </w:tcMar>
            <w:vAlign w:val="center"/>
          </w:tcPr>
          <w:p w14:paraId="51A8683A">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《病理检验技术》</w:t>
            </w:r>
          </w:p>
        </w:tc>
        <w:tc>
          <w:tcPr>
            <w:tcW w:w="1354" w:type="dxa"/>
            <w:vMerge w:val="restart"/>
            <w:tcMar>
              <w:top w:w="60" w:type="dxa"/>
              <w:left w:w="120" w:type="dxa"/>
              <w:bottom w:w="30" w:type="dxa"/>
              <w:right w:w="120" w:type="dxa"/>
            </w:tcMar>
            <w:vAlign w:val="center"/>
          </w:tcPr>
          <w:p w14:paraId="23C1B265">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8</w:t>
            </w:r>
          </w:p>
        </w:tc>
        <w:tc>
          <w:tcPr>
            <w:tcW w:w="1528" w:type="dxa"/>
            <w:tcMar>
              <w:top w:w="60" w:type="dxa"/>
              <w:left w:w="120" w:type="dxa"/>
              <w:bottom w:w="30" w:type="dxa"/>
              <w:right w:w="120" w:type="dxa"/>
            </w:tcMar>
            <w:vAlign w:val="center"/>
          </w:tcPr>
          <w:p w14:paraId="103A2FA4">
            <w:pPr>
              <w:widowControl/>
              <w:spacing w:line="240" w:lineRule="auto"/>
              <w:jc w:val="center"/>
              <w:rPr>
                <w:rFonts w:hint="default"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w:t>
            </w:r>
          </w:p>
        </w:tc>
        <w:tc>
          <w:tcPr>
            <w:tcW w:w="1528" w:type="dxa"/>
            <w:tcMar>
              <w:top w:w="60" w:type="dxa"/>
              <w:left w:w="120" w:type="dxa"/>
              <w:bottom w:w="30" w:type="dxa"/>
              <w:right w:w="120" w:type="dxa"/>
            </w:tcMar>
            <w:vAlign w:val="center"/>
          </w:tcPr>
          <w:p w14:paraId="6F6F291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4D343AC5">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病理标本取材、制片、染色等常规检验技术原理与行业规范</w:t>
            </w:r>
          </w:p>
        </w:tc>
      </w:tr>
      <w:tr w14:paraId="77CE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387354E4">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0377A1C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3F56D882">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6</w:t>
            </w:r>
          </w:p>
        </w:tc>
        <w:tc>
          <w:tcPr>
            <w:tcW w:w="1528" w:type="dxa"/>
            <w:tcMar>
              <w:top w:w="60" w:type="dxa"/>
              <w:left w:w="120" w:type="dxa"/>
              <w:bottom w:w="30" w:type="dxa"/>
              <w:right w:w="120" w:type="dxa"/>
            </w:tcMar>
            <w:vAlign w:val="center"/>
          </w:tcPr>
          <w:p w14:paraId="26330A0C">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线下实训</w:t>
            </w:r>
          </w:p>
        </w:tc>
        <w:tc>
          <w:tcPr>
            <w:tcW w:w="3767" w:type="dxa"/>
            <w:tcMar>
              <w:top w:w="60" w:type="dxa"/>
              <w:left w:w="120" w:type="dxa"/>
              <w:bottom w:w="30" w:type="dxa"/>
              <w:right w:w="120" w:type="dxa"/>
            </w:tcMar>
          </w:tcPr>
          <w:p w14:paraId="3BF3AC93">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病理标本取材实操、制片与染色全流程实操训练，技术质量控制实训</w:t>
            </w:r>
          </w:p>
        </w:tc>
      </w:tr>
      <w:tr w14:paraId="332D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restart"/>
            <w:tcMar>
              <w:top w:w="60" w:type="dxa"/>
              <w:left w:w="120" w:type="dxa"/>
              <w:bottom w:w="30" w:type="dxa"/>
              <w:right w:w="120" w:type="dxa"/>
            </w:tcMar>
            <w:vAlign w:val="center"/>
          </w:tcPr>
          <w:p w14:paraId="43B3FD4C">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《AI+病理诊断理论》</w:t>
            </w:r>
          </w:p>
        </w:tc>
        <w:tc>
          <w:tcPr>
            <w:tcW w:w="1354" w:type="dxa"/>
            <w:vMerge w:val="restart"/>
            <w:tcMar>
              <w:top w:w="60" w:type="dxa"/>
              <w:left w:w="120" w:type="dxa"/>
              <w:bottom w:w="30" w:type="dxa"/>
              <w:right w:w="120" w:type="dxa"/>
            </w:tcMar>
            <w:vAlign w:val="center"/>
          </w:tcPr>
          <w:p w14:paraId="1EB2142F">
            <w:pPr>
              <w:widowControl/>
              <w:spacing w:line="240" w:lineRule="auto"/>
              <w:jc w:val="center"/>
              <w:rPr>
                <w:rFonts w:hint="default"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16</w:t>
            </w:r>
          </w:p>
        </w:tc>
        <w:tc>
          <w:tcPr>
            <w:tcW w:w="1528" w:type="dxa"/>
            <w:tcMar>
              <w:top w:w="60" w:type="dxa"/>
              <w:left w:w="120" w:type="dxa"/>
              <w:bottom w:w="30" w:type="dxa"/>
              <w:right w:w="120" w:type="dxa"/>
            </w:tcMar>
            <w:vAlign w:val="center"/>
          </w:tcPr>
          <w:p w14:paraId="033FA329">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4</w:t>
            </w:r>
          </w:p>
        </w:tc>
        <w:tc>
          <w:tcPr>
            <w:tcW w:w="1528" w:type="dxa"/>
            <w:tcMar>
              <w:top w:w="60" w:type="dxa"/>
              <w:left w:w="120" w:type="dxa"/>
              <w:bottom w:w="30" w:type="dxa"/>
              <w:right w:w="120" w:type="dxa"/>
            </w:tcMar>
            <w:vAlign w:val="center"/>
          </w:tcPr>
          <w:p w14:paraId="7BC714BB">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5BC424A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病理诊断与临床诊疗的关联，人体各系统常见疾病病理诊断要点与鉴别思路</w:t>
            </w:r>
          </w:p>
        </w:tc>
      </w:tr>
      <w:tr w14:paraId="3CED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6CD04409">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418D35A2">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6EF82F6B">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2</w:t>
            </w:r>
          </w:p>
        </w:tc>
        <w:tc>
          <w:tcPr>
            <w:tcW w:w="1528" w:type="dxa"/>
            <w:tcMar>
              <w:top w:w="60" w:type="dxa"/>
              <w:left w:w="120" w:type="dxa"/>
              <w:bottom w:w="30" w:type="dxa"/>
              <w:right w:w="120" w:type="dxa"/>
            </w:tcMar>
            <w:vAlign w:val="center"/>
          </w:tcPr>
          <w:p w14:paraId="080E2EB4">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线上</w:t>
            </w:r>
          </w:p>
        </w:tc>
        <w:tc>
          <w:tcPr>
            <w:tcW w:w="3767" w:type="dxa"/>
            <w:tcMar>
              <w:top w:w="60" w:type="dxa"/>
              <w:left w:w="120" w:type="dxa"/>
              <w:bottom w:w="30" w:type="dxa"/>
              <w:right w:w="120" w:type="dxa"/>
            </w:tcMar>
          </w:tcPr>
          <w:p w14:paraId="08518240">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AI+数字病理诊断基础，数字病理切片浏览、分析方法，基层数字病理设备操作知识</w:t>
            </w:r>
          </w:p>
        </w:tc>
      </w:tr>
      <w:tr w14:paraId="0010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0B2BE5F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354" w:type="dxa"/>
            <w:vMerge w:val="continue"/>
            <w:tcMar>
              <w:top w:w="60" w:type="dxa"/>
              <w:left w:w="120" w:type="dxa"/>
              <w:bottom w:w="30" w:type="dxa"/>
              <w:right w:w="120" w:type="dxa"/>
            </w:tcMar>
            <w:vAlign w:val="center"/>
          </w:tcPr>
          <w:p w14:paraId="0CDB5A42">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45AAD99F">
            <w:pPr>
              <w:widowControl/>
              <w:spacing w:line="240" w:lineRule="auto"/>
              <w:jc w:val="center"/>
              <w:rPr>
                <w:rFonts w:hint="default"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4</w:t>
            </w:r>
          </w:p>
        </w:tc>
        <w:tc>
          <w:tcPr>
            <w:tcW w:w="1528" w:type="dxa"/>
            <w:tcMar>
              <w:top w:w="60" w:type="dxa"/>
              <w:left w:w="120" w:type="dxa"/>
              <w:bottom w:w="30" w:type="dxa"/>
              <w:right w:w="120" w:type="dxa"/>
            </w:tcMar>
            <w:vAlign w:val="center"/>
          </w:tcPr>
          <w:p w14:paraId="1D5FE1D8">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线下实训</w:t>
            </w:r>
          </w:p>
        </w:tc>
        <w:tc>
          <w:tcPr>
            <w:tcW w:w="3767" w:type="dxa"/>
            <w:tcMar>
              <w:top w:w="60" w:type="dxa"/>
              <w:left w:w="120" w:type="dxa"/>
              <w:bottom w:w="30" w:type="dxa"/>
              <w:right w:w="120" w:type="dxa"/>
            </w:tcMar>
          </w:tcPr>
          <w:p w14:paraId="3F270DA6">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AI数字病理切片分析实操、免疫组化与特殊染色切片阅片实训</w:t>
            </w:r>
          </w:p>
        </w:tc>
      </w:tr>
      <w:tr w14:paraId="756C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restart"/>
            <w:tcMar>
              <w:top w:w="60" w:type="dxa"/>
              <w:left w:w="120" w:type="dxa"/>
              <w:bottom w:w="30" w:type="dxa"/>
              <w:right w:w="120" w:type="dxa"/>
            </w:tcMar>
            <w:vAlign w:val="center"/>
          </w:tcPr>
          <w:p w14:paraId="3536EF53">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《病理临床整合实践》</w:t>
            </w:r>
          </w:p>
        </w:tc>
        <w:tc>
          <w:tcPr>
            <w:tcW w:w="2882" w:type="dxa"/>
            <w:gridSpan w:val="2"/>
            <w:vMerge w:val="restart"/>
            <w:tcMar>
              <w:top w:w="60" w:type="dxa"/>
              <w:left w:w="120" w:type="dxa"/>
              <w:bottom w:w="30" w:type="dxa"/>
              <w:right w:w="120" w:type="dxa"/>
            </w:tcMar>
            <w:vAlign w:val="center"/>
          </w:tcPr>
          <w:p w14:paraId="61CBB9E7">
            <w:pPr>
              <w:widowControl/>
              <w:spacing w:line="240" w:lineRule="auto"/>
              <w:jc w:val="center"/>
              <w:rPr>
                <w:rFonts w:hint="default"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8</w:t>
            </w:r>
          </w:p>
        </w:tc>
        <w:tc>
          <w:tcPr>
            <w:tcW w:w="1528" w:type="dxa"/>
            <w:tcMar>
              <w:top w:w="60" w:type="dxa"/>
              <w:left w:w="120" w:type="dxa"/>
              <w:bottom w:w="30" w:type="dxa"/>
              <w:right w:w="120" w:type="dxa"/>
            </w:tcMar>
            <w:vAlign w:val="center"/>
          </w:tcPr>
          <w:p w14:paraId="60C13A61">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线下实践</w:t>
            </w:r>
          </w:p>
        </w:tc>
        <w:tc>
          <w:tcPr>
            <w:tcW w:w="3767" w:type="dxa"/>
            <w:tcMar>
              <w:top w:w="60" w:type="dxa"/>
              <w:left w:w="120" w:type="dxa"/>
              <w:bottom w:w="30" w:type="dxa"/>
              <w:right w:w="120" w:type="dxa"/>
            </w:tcMar>
          </w:tcPr>
          <w:p w14:paraId="67ADA59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依托合作医院病理科开展岗位实践，病理诊断辅助工作实操</w:t>
            </w:r>
          </w:p>
        </w:tc>
      </w:tr>
      <w:tr w14:paraId="43A7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trPr>
        <w:tc>
          <w:tcPr>
            <w:tcW w:w="1702" w:type="dxa"/>
            <w:vMerge w:val="continue"/>
            <w:tcMar>
              <w:top w:w="60" w:type="dxa"/>
              <w:left w:w="120" w:type="dxa"/>
              <w:bottom w:w="30" w:type="dxa"/>
              <w:right w:w="120" w:type="dxa"/>
            </w:tcMar>
            <w:vAlign w:val="center"/>
          </w:tcPr>
          <w:p w14:paraId="4CE839EA">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2882" w:type="dxa"/>
            <w:gridSpan w:val="2"/>
            <w:vMerge w:val="continue"/>
            <w:tcMar>
              <w:top w:w="60" w:type="dxa"/>
              <w:left w:w="120" w:type="dxa"/>
              <w:bottom w:w="30" w:type="dxa"/>
              <w:right w:w="120" w:type="dxa"/>
            </w:tcMar>
            <w:vAlign w:val="center"/>
          </w:tcPr>
          <w:p w14:paraId="17D206FE">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p>
        </w:tc>
        <w:tc>
          <w:tcPr>
            <w:tcW w:w="1528" w:type="dxa"/>
            <w:tcMar>
              <w:top w:w="60" w:type="dxa"/>
              <w:left w:w="120" w:type="dxa"/>
              <w:bottom w:w="30" w:type="dxa"/>
              <w:right w:w="120" w:type="dxa"/>
            </w:tcMar>
            <w:vAlign w:val="center"/>
          </w:tcPr>
          <w:p w14:paraId="66C0D9EC">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线下实践</w:t>
            </w:r>
          </w:p>
        </w:tc>
        <w:tc>
          <w:tcPr>
            <w:tcW w:w="3767" w:type="dxa"/>
            <w:tcMar>
              <w:top w:w="60" w:type="dxa"/>
              <w:left w:w="120" w:type="dxa"/>
              <w:bottom w:w="30" w:type="dxa"/>
              <w:right w:w="120" w:type="dxa"/>
            </w:tcMar>
          </w:tcPr>
          <w:p w14:paraId="0F9C1F87">
            <w:pPr>
              <w:widowControl/>
              <w:spacing w:line="240" w:lineRule="auto"/>
              <w:jc w:val="center"/>
              <w:rPr>
                <w:rFonts w:hint="eastAsia" w:ascii="仿宋_GB2312" w:eastAsia="仿宋_GB2312" w:hAnsiTheme="minorHAnsi" w:cstheme="minorBidi"/>
                <w:b w:val="0"/>
                <w:bCs w:val="0"/>
                <w:kern w:val="2"/>
                <w:sz w:val="24"/>
                <w:szCs w:val="24"/>
                <w:lang w:val="en-US" w:eastAsia="zh-CN" w:bidi="ar-SA"/>
              </w:rPr>
            </w:pPr>
            <w:r>
              <w:rPr>
                <w:rFonts w:hint="eastAsia" w:ascii="仿宋_GB2312" w:eastAsia="仿宋_GB2312" w:hAnsiTheme="minorHAnsi" w:cstheme="minorBidi"/>
                <w:b w:val="0"/>
                <w:bCs w:val="0"/>
                <w:kern w:val="2"/>
                <w:sz w:val="24"/>
                <w:szCs w:val="24"/>
                <w:lang w:val="en-US" w:eastAsia="zh-CN" w:bidi="ar-SA"/>
              </w:rPr>
              <w:t>病理与临床诊疗协同实操，基层病理岗位应急情况处理模拟</w:t>
            </w:r>
          </w:p>
        </w:tc>
      </w:tr>
    </w:tbl>
    <w:p w14:paraId="4F4314BD">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bookmarkStart w:id="58" w:name="heading_10"/>
      <w:r>
        <w:rPr>
          <w:rFonts w:hint="eastAsia" w:ascii="黑体" w:hAnsi="黑体" w:cs="仿宋"/>
          <w:b/>
          <w:bCs/>
          <w:color w:val="auto"/>
          <w:kern w:val="0"/>
          <w:sz w:val="28"/>
          <w:szCs w:val="28"/>
          <w:highlight w:val="none"/>
          <w:lang w:val="en-US" w:eastAsia="zh-CN"/>
        </w:rPr>
        <w:t>三</w:t>
      </w:r>
      <w:r>
        <w:rPr>
          <w:rFonts w:hint="eastAsia" w:ascii="黑体" w:hAnsi="黑体" w:eastAsia="黑体" w:cs="仿宋"/>
          <w:b/>
          <w:bCs/>
          <w:color w:val="auto"/>
          <w:kern w:val="0"/>
          <w:sz w:val="28"/>
          <w:szCs w:val="28"/>
          <w:highlight w:val="none"/>
          <w:lang w:eastAsia="zh-CN"/>
        </w:rPr>
        <w:t>、教学评价</w:t>
      </w:r>
      <w:bookmarkEnd w:id="58"/>
    </w:p>
    <w:p w14:paraId="63CA17E4">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教学评价采用过程性评价（40%）+终结性评价（30%）+实践能力评价（30%） 的综合评价方式，全面考查学员对课程内容的掌握程度、实操能力和临床应用能力，评价结果作为结业依据。</w:t>
      </w:r>
    </w:p>
    <w:p w14:paraId="2F625B9D">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过程性评价（40%）：包含课堂考勤（5%）、线上学习完成度（5%）、课堂表现与案例分析研讨（10%）、实训操作考核（20%，重点考核病理切片完整性、染色清晰度、阅片准确性等）。</w:t>
      </w:r>
    </w:p>
    <w:p w14:paraId="2ABE0589">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终结性评价（30%）：包含理论笔试（20%，考查病理诊断基础理论、技术原理、行业规范等）、技术报告撰写（10%，考查AI数字病理分析报告、病理检验技术报告的撰写能力）。</w:t>
      </w:r>
    </w:p>
    <w:p w14:paraId="520A5870">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实践能力评价（30%）：包含病理诊断全流程实操考核（15%，考查标本取材+制片+染色+AI分析的综合实操能力）、基层岗位模拟任务考核（15%，考查病理与临床协同、标本混淆应急处理等岗位实操能力），实践考核由校内导师和校外医院专家联合评分。</w:t>
      </w:r>
    </w:p>
    <w:p w14:paraId="211FE2D6">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bookmarkStart w:id="59" w:name="heading_11"/>
      <w:r>
        <w:rPr>
          <w:rFonts w:hint="eastAsia" w:ascii="黑体" w:hAnsi="黑体" w:cs="仿宋"/>
          <w:b/>
          <w:bCs/>
          <w:color w:val="auto"/>
          <w:kern w:val="0"/>
          <w:sz w:val="28"/>
          <w:szCs w:val="28"/>
          <w:highlight w:val="none"/>
          <w:lang w:val="en-US" w:eastAsia="zh-CN"/>
        </w:rPr>
        <w:t>四</w:t>
      </w:r>
      <w:r>
        <w:rPr>
          <w:rFonts w:hint="eastAsia" w:ascii="黑体" w:hAnsi="黑体" w:eastAsia="黑体" w:cs="仿宋"/>
          <w:b/>
          <w:bCs/>
          <w:color w:val="auto"/>
          <w:kern w:val="0"/>
          <w:sz w:val="28"/>
          <w:szCs w:val="28"/>
          <w:highlight w:val="none"/>
          <w:lang w:eastAsia="zh-CN"/>
        </w:rPr>
        <w:t>、教学计划</w:t>
      </w:r>
      <w:bookmarkEnd w:id="59"/>
    </w:p>
    <w:p w14:paraId="56EFD37D">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val="en-US" w:eastAsia="zh-CN"/>
        </w:rPr>
      </w:pPr>
      <w:r>
        <w:rPr>
          <w:rFonts w:hint="eastAsia" w:ascii="仿宋" w:hAnsi="仿宋" w:eastAsia="仿宋" w:cs="仿宋"/>
          <w:b w:val="0"/>
          <w:color w:val="auto"/>
          <w:kern w:val="0"/>
          <w:sz w:val="28"/>
          <w:szCs w:val="28"/>
          <w:highlight w:val="none"/>
          <w:lang w:eastAsia="zh-CN"/>
        </w:rPr>
        <w:t>本微专业总学时为50学时，其中线上理论22学时、线下实训28学时，预计教学周期为1年，开设于临床医学专业4～6学期。</w:t>
      </w:r>
    </w:p>
    <w:p w14:paraId="12F9D33C">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sz w:val="24"/>
          <w:szCs w:val="32"/>
          <w:lang w:val="en-US" w:eastAsia="zh-CN"/>
        </w:rPr>
      </w:pPr>
    </w:p>
    <w:p w14:paraId="1A3F7B58">
      <w:pPr>
        <w:jc w:val="center"/>
        <w:rPr>
          <w:rFonts w:hint="eastAsia"/>
          <w:sz w:val="44"/>
          <w:szCs w:val="44"/>
          <w14:ligatures w14:val="none"/>
        </w:rPr>
      </w:pPr>
      <w:r>
        <w:rPr>
          <w:rFonts w:hint="eastAsia" w:ascii="宋体" w:hAnsi="宋体" w:eastAsia="宋体" w:cs="仿宋"/>
          <w:b/>
          <w:bCs/>
          <w:color w:val="auto"/>
          <w:kern w:val="0"/>
          <w:sz w:val="44"/>
          <w:szCs w:val="44"/>
          <w:highlight w:val="none"/>
          <w:lang w:val="en-US" w:eastAsia="zh-CN"/>
        </w:rPr>
        <w:t>《影像诊断》微专业介绍</w:t>
      </w:r>
    </w:p>
    <w:p w14:paraId="106B925F">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一、教学方案概述</w:t>
      </w:r>
    </w:p>
    <w:p w14:paraId="3430487E">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本教学方案依据甘肃卫生职业学院高校“双千”计划“影像诊断”微专业备案文件制定，旨在培养适应区域医疗数字化与基层影像诊断能力提升需求的复合型技能人才，聚焦医学影像诊断+临床思维深度融合，通过系统化课程与临床实操，提升学生在医学影像判读、诊断报告书写、影像质量评价及数字化影像应用领域的专业能力。</w:t>
      </w:r>
    </w:p>
    <w:p w14:paraId="3B59D7A0">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二、培养目标</w:t>
      </w:r>
    </w:p>
    <w:p w14:paraId="4393FDA3">
      <w:pPr>
        <w:adjustRightInd/>
        <w:snapToGrid/>
        <w:spacing w:line="480" w:lineRule="exact"/>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培养德技并修、全面发展，具备良好医学人文素养、职业道德与职业精神，掌握影像诊断专业知识与技术技能，能熟练审阅X线、CT、MRI等各类医学影像资料，兼具影像质量评价能力和数字化影像技术应用能力，具备辐射防护、医疗安全意识与终身学习能力的复合型技能人才，助力区域基层医疗机构影像诊断水平提升与医疗资源均衡配置。</w:t>
      </w:r>
    </w:p>
    <w:p w14:paraId="1F76353A">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三、培养对象</w:t>
      </w:r>
    </w:p>
    <w:p w14:paraId="263EF489">
      <w:pPr>
        <w:adjustRightInd w:val="0"/>
        <w:snapToGrid w:val="0"/>
        <w:spacing w:after="0" w:line="360" w:lineRule="auto"/>
        <w:ind w:firstLine="560" w:firstLineChars="200"/>
        <w:jc w:val="both"/>
        <w:rPr>
          <w:rFonts w:hint="eastAsia" w:ascii="仿宋" w:hAnsi="仿宋" w:eastAsia="仿宋"/>
          <w:sz w:val="32"/>
          <w:szCs w:val="32"/>
        </w:rPr>
      </w:pPr>
      <w:r>
        <w:rPr>
          <w:rFonts w:hint="eastAsia" w:ascii="仿宋" w:hAnsi="仿宋" w:eastAsia="仿宋" w:cs="仿宋"/>
          <w:b w:val="0"/>
          <w:color w:val="auto"/>
          <w:kern w:val="0"/>
          <w:sz w:val="28"/>
          <w:szCs w:val="28"/>
          <w:highlight w:val="none"/>
          <w:lang w:eastAsia="zh-CN"/>
        </w:rPr>
        <w:t>医药卫生大类专科临床医学专业在校学生，需已完成人体解剖学、医学影像解剖学、临床疾病概要等专业基础课程学习，具备基础医学知识与影像设备操作认知。</w:t>
      </w:r>
    </w:p>
    <w:p w14:paraId="58380323">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eastAsia="黑体" w:cs="仿宋"/>
          <w:b/>
          <w:bCs/>
          <w:color w:val="auto"/>
          <w:kern w:val="0"/>
          <w:sz w:val="28"/>
          <w:szCs w:val="28"/>
          <w:highlight w:val="none"/>
          <w:lang w:eastAsia="zh-CN"/>
        </w:rPr>
        <w:t>四、课程体系与教学内容</w:t>
      </w:r>
    </w:p>
    <w:p w14:paraId="7A4579F7">
      <w:pPr>
        <w:adjustRightInd w:val="0"/>
        <w:snapToGrid w:val="0"/>
        <w:spacing w:after="0" w:line="360" w:lineRule="auto"/>
        <w:ind w:firstLine="560" w:firstLineChars="200"/>
        <w:jc w:val="both"/>
        <w:rPr>
          <w:rFonts w:hint="eastAsia" w:ascii="仿宋" w:hAnsi="仿宋" w:eastAsia="仿宋"/>
          <w:sz w:val="32"/>
          <w:szCs w:val="32"/>
        </w:rPr>
      </w:pPr>
      <w:r>
        <w:rPr>
          <w:rFonts w:hint="eastAsia" w:ascii="仿宋" w:hAnsi="仿宋" w:eastAsia="仿宋" w:cs="仿宋"/>
          <w:b w:val="0"/>
          <w:color w:val="auto"/>
          <w:kern w:val="0"/>
          <w:sz w:val="28"/>
          <w:szCs w:val="28"/>
          <w:highlight w:val="none"/>
          <w:lang w:eastAsia="zh-CN"/>
        </w:rPr>
        <w:t>对接基层医疗影像岗位需求、强化影像诊断与临床思维双能力为核心，构建“基础夯实—技能锤炼—临床应用”三层递进式课程体系，总学时约48学时，总学分3分，具体课程如下：</w:t>
      </w:r>
    </w:p>
    <w:tbl>
      <w:tblPr>
        <w:tblStyle w:val="10"/>
        <w:tblpPr w:leftFromText="180" w:rightFromText="180" w:vertAnchor="text" w:horzAnchor="page" w:tblpXSpec="center" w:tblpY="167"/>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8"/>
        <w:gridCol w:w="1532"/>
        <w:gridCol w:w="1508"/>
        <w:gridCol w:w="2150"/>
      </w:tblGrid>
      <w:tr w14:paraId="3402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1AA01D7D">
            <w:pPr>
              <w:widowControl w:val="0"/>
              <w:adjustRightInd w:val="0"/>
              <w:snapToGrid w:val="0"/>
              <w:spacing w:after="0" w:line="360" w:lineRule="auto"/>
              <w:ind w:firstLine="562" w:firstLineChars="200"/>
              <w:jc w:val="both"/>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lang w:eastAsia="zh-CN"/>
              </w:rPr>
              <w:t>课程名称</w:t>
            </w:r>
          </w:p>
        </w:tc>
        <w:tc>
          <w:tcPr>
            <w:tcW w:w="769" w:type="pct"/>
            <w:vAlign w:val="center"/>
          </w:tcPr>
          <w:p w14:paraId="0B97F7AA">
            <w:pPr>
              <w:widowControl w:val="0"/>
              <w:adjustRightInd w:val="0"/>
              <w:snapToGrid w:val="0"/>
              <w:spacing w:after="0" w:line="360" w:lineRule="auto"/>
              <w:ind w:firstLine="562" w:firstLineChars="200"/>
              <w:jc w:val="both"/>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lang w:eastAsia="zh-CN"/>
              </w:rPr>
              <w:t>学时</w:t>
            </w:r>
          </w:p>
        </w:tc>
        <w:tc>
          <w:tcPr>
            <w:tcW w:w="757" w:type="pct"/>
            <w:vAlign w:val="center"/>
          </w:tcPr>
          <w:p w14:paraId="6004F186">
            <w:pPr>
              <w:widowControl w:val="0"/>
              <w:adjustRightInd w:val="0"/>
              <w:snapToGrid w:val="0"/>
              <w:spacing w:after="0" w:line="360" w:lineRule="auto"/>
              <w:ind w:firstLine="562" w:firstLineChars="200"/>
              <w:jc w:val="both"/>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lang w:eastAsia="zh-CN"/>
              </w:rPr>
              <w:t>学分</w:t>
            </w:r>
          </w:p>
        </w:tc>
        <w:tc>
          <w:tcPr>
            <w:tcW w:w="1079" w:type="pct"/>
            <w:vAlign w:val="center"/>
          </w:tcPr>
          <w:p w14:paraId="38B2876F">
            <w:pPr>
              <w:widowControl w:val="0"/>
              <w:adjustRightInd w:val="0"/>
              <w:snapToGrid w:val="0"/>
              <w:spacing w:after="0" w:line="360" w:lineRule="auto"/>
              <w:ind w:firstLine="562" w:firstLineChars="200"/>
              <w:jc w:val="both"/>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lang w:eastAsia="zh-CN"/>
              </w:rPr>
              <w:t>开课学期</w:t>
            </w:r>
          </w:p>
        </w:tc>
      </w:tr>
      <w:tr w14:paraId="539F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5E1F7DEA">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医学影像诊断基础</w:t>
            </w:r>
          </w:p>
        </w:tc>
        <w:tc>
          <w:tcPr>
            <w:tcW w:w="769" w:type="pct"/>
            <w:vAlign w:val="center"/>
          </w:tcPr>
          <w:p w14:paraId="792E5D6F">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8</w:t>
            </w:r>
          </w:p>
        </w:tc>
        <w:tc>
          <w:tcPr>
            <w:tcW w:w="757" w:type="pct"/>
            <w:vAlign w:val="center"/>
          </w:tcPr>
          <w:p w14:paraId="02C36CF4">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0.5</w:t>
            </w:r>
          </w:p>
        </w:tc>
        <w:tc>
          <w:tcPr>
            <w:tcW w:w="1079" w:type="pct"/>
            <w:vAlign w:val="center"/>
          </w:tcPr>
          <w:p w14:paraId="1E378969">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4～6学期</w:t>
            </w:r>
          </w:p>
        </w:tc>
      </w:tr>
      <w:tr w14:paraId="3FDC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1F7BABE0">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X射线诊断学</w:t>
            </w:r>
          </w:p>
        </w:tc>
        <w:tc>
          <w:tcPr>
            <w:tcW w:w="769" w:type="pct"/>
            <w:vAlign w:val="center"/>
          </w:tcPr>
          <w:p w14:paraId="667D7DA0">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16</w:t>
            </w:r>
          </w:p>
        </w:tc>
        <w:tc>
          <w:tcPr>
            <w:tcW w:w="757" w:type="pct"/>
            <w:vAlign w:val="center"/>
          </w:tcPr>
          <w:p w14:paraId="77494760">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1</w:t>
            </w:r>
          </w:p>
        </w:tc>
        <w:tc>
          <w:tcPr>
            <w:tcW w:w="1079" w:type="pct"/>
            <w:vAlign w:val="center"/>
          </w:tcPr>
          <w:p w14:paraId="51442F6D">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4～6学期</w:t>
            </w:r>
          </w:p>
        </w:tc>
      </w:tr>
      <w:tr w14:paraId="5353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0043D07C">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CT诊断学、MRI诊断学</w:t>
            </w:r>
          </w:p>
        </w:tc>
        <w:tc>
          <w:tcPr>
            <w:tcW w:w="769" w:type="pct"/>
            <w:vAlign w:val="center"/>
          </w:tcPr>
          <w:p w14:paraId="44A1CF88">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8</w:t>
            </w:r>
          </w:p>
        </w:tc>
        <w:tc>
          <w:tcPr>
            <w:tcW w:w="757" w:type="pct"/>
            <w:vAlign w:val="center"/>
          </w:tcPr>
          <w:p w14:paraId="0EA36DE0">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0.5</w:t>
            </w:r>
          </w:p>
        </w:tc>
        <w:tc>
          <w:tcPr>
            <w:tcW w:w="1079" w:type="pct"/>
            <w:vAlign w:val="center"/>
          </w:tcPr>
          <w:p w14:paraId="2EBAE798">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4～6学期</w:t>
            </w:r>
          </w:p>
        </w:tc>
      </w:tr>
      <w:tr w14:paraId="0B22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93" w:type="pct"/>
            <w:vAlign w:val="center"/>
          </w:tcPr>
          <w:p w14:paraId="43BE74D3">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超声检查技术</w:t>
            </w:r>
          </w:p>
        </w:tc>
        <w:tc>
          <w:tcPr>
            <w:tcW w:w="769" w:type="pct"/>
            <w:vAlign w:val="center"/>
          </w:tcPr>
          <w:p w14:paraId="7C949B37">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16</w:t>
            </w:r>
          </w:p>
        </w:tc>
        <w:tc>
          <w:tcPr>
            <w:tcW w:w="757" w:type="pct"/>
            <w:vAlign w:val="center"/>
          </w:tcPr>
          <w:p w14:paraId="6C1381A4">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1</w:t>
            </w:r>
          </w:p>
        </w:tc>
        <w:tc>
          <w:tcPr>
            <w:tcW w:w="1079" w:type="pct"/>
            <w:vAlign w:val="center"/>
          </w:tcPr>
          <w:p w14:paraId="436169BD">
            <w:pPr>
              <w:widowControl w:val="0"/>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4～6学期</w:t>
            </w:r>
          </w:p>
        </w:tc>
      </w:tr>
    </w:tbl>
    <w:p w14:paraId="659EE37C">
      <w:pPr>
        <w:rPr>
          <w:rFonts w:ascii="Arial"/>
          <w:sz w:val="21"/>
        </w:rPr>
      </w:pPr>
    </w:p>
    <w:p w14:paraId="536BC44A">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cs="仿宋"/>
          <w:b/>
          <w:bCs/>
          <w:color w:val="auto"/>
          <w:kern w:val="0"/>
          <w:sz w:val="28"/>
          <w:szCs w:val="28"/>
          <w:highlight w:val="none"/>
          <w:lang w:val="en-US" w:eastAsia="zh-CN"/>
        </w:rPr>
        <w:t>五</w:t>
      </w:r>
      <w:r>
        <w:rPr>
          <w:rFonts w:hint="eastAsia" w:ascii="黑体" w:hAnsi="黑体" w:eastAsia="黑体" w:cs="仿宋"/>
          <w:b/>
          <w:bCs/>
          <w:color w:val="auto"/>
          <w:kern w:val="0"/>
          <w:sz w:val="28"/>
          <w:szCs w:val="28"/>
          <w:highlight w:val="none"/>
          <w:lang w:eastAsia="zh-CN"/>
        </w:rPr>
        <w:t>、评价体系</w:t>
      </w:r>
    </w:p>
    <w:p w14:paraId="68562F0F">
      <w:pPr>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1.过程性评价：包括课堂参与度、阅片训练完成情况、阶段性诊断报告实训、病例分析作业等，全面考查学生在学习过程中的表现。</w:t>
      </w:r>
    </w:p>
    <w:p w14:paraId="4D584D08">
      <w:pPr>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2.终结性评价：涵盖理论考试、影像诊断实操考核、综合诊断报告撰写等，检验学生对知识的掌握程度和临床应用能力。</w:t>
      </w:r>
    </w:p>
    <w:p w14:paraId="440E559C">
      <w:pPr>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3.动态反馈机制：开展医疗机构、学生双维度调研，根据基层医疗影像岗位需求和学生学习反馈及时调整课程内容，确保教学质量。</w:t>
      </w:r>
    </w:p>
    <w:p w14:paraId="6A2B54B0">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cs="仿宋"/>
          <w:b/>
          <w:bCs/>
          <w:color w:val="auto"/>
          <w:kern w:val="0"/>
          <w:sz w:val="28"/>
          <w:szCs w:val="28"/>
          <w:highlight w:val="none"/>
          <w:lang w:val="en-US" w:eastAsia="zh-CN"/>
        </w:rPr>
        <w:t>六</w:t>
      </w:r>
      <w:r>
        <w:rPr>
          <w:rFonts w:hint="eastAsia" w:ascii="黑体" w:hAnsi="黑体" w:eastAsia="黑体" w:cs="仿宋"/>
          <w:b/>
          <w:bCs/>
          <w:color w:val="auto"/>
          <w:kern w:val="0"/>
          <w:sz w:val="28"/>
          <w:szCs w:val="28"/>
          <w:highlight w:val="none"/>
          <w:lang w:eastAsia="zh-CN"/>
        </w:rPr>
        <w:t>、教学实施安排</w:t>
      </w:r>
    </w:p>
    <w:p w14:paraId="52B50CC3">
      <w:pPr>
        <w:adjustRightInd w:val="0"/>
        <w:snapToGrid w:val="0"/>
        <w:spacing w:after="0" w:line="360" w:lineRule="auto"/>
        <w:ind w:firstLine="560" w:firstLineChars="200"/>
        <w:jc w:val="both"/>
        <w:rPr>
          <w:rFonts w:hint="eastAsia" w:ascii="仿宋" w:hAnsi="仿宋" w:eastAsia="仿宋"/>
          <w:sz w:val="32"/>
          <w:szCs w:val="32"/>
        </w:rPr>
      </w:pPr>
      <w:r>
        <w:rPr>
          <w:rFonts w:hint="eastAsia" w:ascii="仿宋" w:hAnsi="仿宋" w:eastAsia="仿宋" w:cs="仿宋"/>
          <w:b w:val="0"/>
          <w:color w:val="auto"/>
          <w:kern w:val="0"/>
          <w:sz w:val="28"/>
          <w:szCs w:val="28"/>
          <w:highlight w:val="none"/>
          <w:lang w:eastAsia="zh-CN"/>
        </w:rPr>
        <w:t>本微专业学制1年，开课时间为4～6学期，具体教学实施按照课程体系中的开课学期安排进行，实现“知识学习—技能训练—临床岗位应用”的无缝衔接。</w:t>
      </w:r>
    </w:p>
    <w:p w14:paraId="06B777E6">
      <w:pPr>
        <w:adjustRightInd/>
        <w:snapToGrid/>
        <w:spacing w:line="480" w:lineRule="exact"/>
        <w:ind w:firstLine="562" w:firstLineChars="200"/>
        <w:jc w:val="both"/>
        <w:rPr>
          <w:rFonts w:hint="eastAsia" w:ascii="黑体" w:hAnsi="黑体" w:eastAsia="黑体" w:cs="仿宋"/>
          <w:b/>
          <w:bCs/>
          <w:color w:val="auto"/>
          <w:kern w:val="0"/>
          <w:sz w:val="28"/>
          <w:szCs w:val="28"/>
          <w:highlight w:val="none"/>
          <w:lang w:eastAsia="zh-CN"/>
        </w:rPr>
      </w:pPr>
      <w:r>
        <w:rPr>
          <w:rFonts w:hint="eastAsia" w:ascii="黑体" w:hAnsi="黑体" w:cs="仿宋"/>
          <w:b/>
          <w:bCs/>
          <w:color w:val="auto"/>
          <w:kern w:val="0"/>
          <w:sz w:val="28"/>
          <w:szCs w:val="28"/>
          <w:highlight w:val="none"/>
          <w:lang w:val="en-US" w:eastAsia="zh-CN"/>
        </w:rPr>
        <w:t>七</w:t>
      </w:r>
      <w:r>
        <w:rPr>
          <w:rFonts w:hint="eastAsia" w:ascii="黑体" w:hAnsi="黑体" w:eastAsia="黑体" w:cs="仿宋"/>
          <w:b/>
          <w:bCs/>
          <w:color w:val="auto"/>
          <w:kern w:val="0"/>
          <w:sz w:val="28"/>
          <w:szCs w:val="28"/>
          <w:highlight w:val="none"/>
          <w:lang w:eastAsia="zh-CN"/>
        </w:rPr>
        <w:t>、就业方向</w:t>
      </w:r>
    </w:p>
    <w:p w14:paraId="64BAC8D7">
      <w:pPr>
        <w:adjustRightInd w:val="0"/>
        <w:snapToGrid w:val="0"/>
        <w:spacing w:after="0" w:line="360" w:lineRule="auto"/>
        <w:ind w:firstLine="560" w:firstLineChars="200"/>
        <w:jc w:val="both"/>
        <w:rPr>
          <w:rFonts w:hint="eastAsia" w:ascii="仿宋" w:hAnsi="仿宋" w:eastAsia="仿宋" w:cs="仿宋"/>
          <w:b w:val="0"/>
          <w:color w:val="auto"/>
          <w:kern w:val="0"/>
          <w:sz w:val="28"/>
          <w:szCs w:val="28"/>
          <w:highlight w:val="none"/>
          <w:lang w:eastAsia="zh-CN"/>
        </w:rPr>
      </w:pPr>
      <w:r>
        <w:rPr>
          <w:rFonts w:hint="eastAsia" w:ascii="仿宋" w:hAnsi="仿宋" w:eastAsia="仿宋" w:cs="仿宋"/>
          <w:b w:val="0"/>
          <w:color w:val="auto"/>
          <w:kern w:val="0"/>
          <w:sz w:val="28"/>
          <w:szCs w:val="28"/>
          <w:highlight w:val="none"/>
          <w:lang w:eastAsia="zh-CN"/>
        </w:rPr>
        <w:t>学生毕业后可在基层医疗机构、民营医院、社区卫生服务中心从事放射科、超声科影像诊断工作；可在医疗器械企业担任临床应用专员、技术支持专家；也可从事医保审核、病案管理等衍生岗位工作，满足区域基层医疗影像诊断与医疗数字化转型的复合型人才需求。</w:t>
      </w:r>
    </w:p>
    <w:sectPr>
      <w:footerReference r:id="rId7" w:type="default"/>
      <w:pgSz w:w="11906" w:h="16839"/>
      <w:pgMar w:top="1440" w:right="1080" w:bottom="1440" w:left="1080" w:header="0" w:footer="848"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0AF3BD-1D79-4581-BE18-0AD828666261}"/>
  </w:font>
  <w:font w:name="黑体">
    <w:panose1 w:val="02010609060101010101"/>
    <w:charset w:val="86"/>
    <w:family w:val="auto"/>
    <w:pitch w:val="default"/>
    <w:sig w:usb0="800002BF" w:usb1="38CF7CFA" w:usb2="00000016" w:usb3="00000000" w:csb0="00040001" w:csb1="00000000"/>
    <w:embedRegular r:id="rId2" w:fontKey="{BAA5577B-E1CE-4F4E-B5F7-4FD75F9430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C65E4D1-AE5C-44C1-8443-3F15C0AD5AF4}"/>
  </w:font>
  <w:font w:name="楷体">
    <w:panose1 w:val="02010609060101010101"/>
    <w:charset w:val="86"/>
    <w:family w:val="auto"/>
    <w:pitch w:val="default"/>
    <w:sig w:usb0="800002BF" w:usb1="38CF7CFA" w:usb2="00000016" w:usb3="00000000" w:csb0="00040001" w:csb1="00000000"/>
    <w:embedRegular r:id="rId4" w:fontKey="{9A3B98AD-7FD2-4A47-ACD9-FCAD8B177BC7}"/>
  </w:font>
  <w:font w:name="仿宋">
    <w:panose1 w:val="02010609060101010101"/>
    <w:charset w:val="86"/>
    <w:family w:val="auto"/>
    <w:pitch w:val="default"/>
    <w:sig w:usb0="800002BF" w:usb1="38CF7CFA" w:usb2="00000016" w:usb3="00000000" w:csb0="00040001" w:csb1="00000000"/>
    <w:embedRegular r:id="rId5" w:fontKey="{90DDDBE4-7C3F-43AB-9952-A46394D2DE7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6" w:fontKey="{CA5EEA50-33F0-4EC6-B455-338C640F8E27}"/>
  </w:font>
  <w:font w:name="华文仿宋">
    <w:altName w:val="仿宋"/>
    <w:panose1 w:val="02010600040101010101"/>
    <w:charset w:val="86"/>
    <w:family w:val="auto"/>
    <w:pitch w:val="default"/>
    <w:sig w:usb0="00000000" w:usb1="00000000" w:usb2="00000000" w:usb3="00000000" w:csb0="0004009F" w:csb1="DFD70000"/>
    <w:embedRegular r:id="rId7" w:fontKey="{D9E5075E-452C-4604-AF51-811890D1FE08}"/>
  </w:font>
  <w:font w:name="Segoe UI">
    <w:panose1 w:val="020B0502040204020203"/>
    <w:charset w:val="00"/>
    <w:family w:val="auto"/>
    <w:pitch w:val="default"/>
    <w:sig w:usb0="E4002EFF" w:usb1="C000E47F" w:usb2="00000009" w:usb3="00000000" w:csb0="200001FF" w:csb1="00000000"/>
    <w:embedRegular r:id="rId8" w:fontKey="{FB272879-5B5C-47AB-A656-C5AC41002741}"/>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9320C">
    <w:pPr>
      <w:spacing w:line="177" w:lineRule="auto"/>
      <w:ind w:left="22"/>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4BBA">
    <w:pPr>
      <w:spacing w:before="1" w:line="176" w:lineRule="auto"/>
      <w:ind w:left="22"/>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6CE7C">
                          <w:pPr>
                            <w:pStyle w:val="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B16CE7C">
                    <w:pPr>
                      <w:pStyle w:val="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0340">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3A7507A"/>
    <w:rsid w:val="04E470A0"/>
    <w:rsid w:val="05CF1E17"/>
    <w:rsid w:val="07805A7B"/>
    <w:rsid w:val="08FE60D4"/>
    <w:rsid w:val="0B521354"/>
    <w:rsid w:val="0B557C00"/>
    <w:rsid w:val="0BD64040"/>
    <w:rsid w:val="0BE34A57"/>
    <w:rsid w:val="0BE36945"/>
    <w:rsid w:val="0C7F638D"/>
    <w:rsid w:val="0E9C2E85"/>
    <w:rsid w:val="0EA917EE"/>
    <w:rsid w:val="0FBD2EDE"/>
    <w:rsid w:val="107C703F"/>
    <w:rsid w:val="142D62DF"/>
    <w:rsid w:val="14C447F8"/>
    <w:rsid w:val="15804BC3"/>
    <w:rsid w:val="161E7604"/>
    <w:rsid w:val="16F30626"/>
    <w:rsid w:val="16F63F87"/>
    <w:rsid w:val="175A5ADE"/>
    <w:rsid w:val="192F3E2C"/>
    <w:rsid w:val="19951551"/>
    <w:rsid w:val="19B10797"/>
    <w:rsid w:val="1A9609E5"/>
    <w:rsid w:val="1CD72DDB"/>
    <w:rsid w:val="1CF917A7"/>
    <w:rsid w:val="1E571967"/>
    <w:rsid w:val="1EAE7A62"/>
    <w:rsid w:val="1FA3607E"/>
    <w:rsid w:val="20011CD6"/>
    <w:rsid w:val="20105ECA"/>
    <w:rsid w:val="20A86CAB"/>
    <w:rsid w:val="20DC35FE"/>
    <w:rsid w:val="21625939"/>
    <w:rsid w:val="235978A2"/>
    <w:rsid w:val="255D6CCF"/>
    <w:rsid w:val="26093573"/>
    <w:rsid w:val="26A06E73"/>
    <w:rsid w:val="294C45CE"/>
    <w:rsid w:val="294D204F"/>
    <w:rsid w:val="2AA474DC"/>
    <w:rsid w:val="2BA96401"/>
    <w:rsid w:val="2C685B6E"/>
    <w:rsid w:val="2CDF35B1"/>
    <w:rsid w:val="2DE91628"/>
    <w:rsid w:val="2E921798"/>
    <w:rsid w:val="301A3C99"/>
    <w:rsid w:val="34DA2D80"/>
    <w:rsid w:val="35D32B03"/>
    <w:rsid w:val="364429D4"/>
    <w:rsid w:val="37BF1155"/>
    <w:rsid w:val="390D6A5E"/>
    <w:rsid w:val="3ABE3C76"/>
    <w:rsid w:val="3BF96496"/>
    <w:rsid w:val="3CA64660"/>
    <w:rsid w:val="3D495FCD"/>
    <w:rsid w:val="3D5D7415"/>
    <w:rsid w:val="3DE8490B"/>
    <w:rsid w:val="3EA70413"/>
    <w:rsid w:val="3FF7308A"/>
    <w:rsid w:val="4005622F"/>
    <w:rsid w:val="42BD701F"/>
    <w:rsid w:val="435E3EE6"/>
    <w:rsid w:val="46A127E1"/>
    <w:rsid w:val="489027E5"/>
    <w:rsid w:val="48AA7221"/>
    <w:rsid w:val="4BC639C5"/>
    <w:rsid w:val="4C9C083E"/>
    <w:rsid w:val="4F211FED"/>
    <w:rsid w:val="4F593BBA"/>
    <w:rsid w:val="4FA65EBC"/>
    <w:rsid w:val="5085479A"/>
    <w:rsid w:val="50E81293"/>
    <w:rsid w:val="51F13C74"/>
    <w:rsid w:val="51F42B99"/>
    <w:rsid w:val="521C7446"/>
    <w:rsid w:val="53F60326"/>
    <w:rsid w:val="544C61CF"/>
    <w:rsid w:val="55A21B63"/>
    <w:rsid w:val="55AF05D2"/>
    <w:rsid w:val="56004110"/>
    <w:rsid w:val="56772E9D"/>
    <w:rsid w:val="57445842"/>
    <w:rsid w:val="57DA73A0"/>
    <w:rsid w:val="58A4109F"/>
    <w:rsid w:val="59AE574C"/>
    <w:rsid w:val="59B461B6"/>
    <w:rsid w:val="5AC54765"/>
    <w:rsid w:val="5AC84927"/>
    <w:rsid w:val="5B3669ED"/>
    <w:rsid w:val="5C163158"/>
    <w:rsid w:val="5C693A85"/>
    <w:rsid w:val="5CF71093"/>
    <w:rsid w:val="5EC21603"/>
    <w:rsid w:val="60E67680"/>
    <w:rsid w:val="66C96E9B"/>
    <w:rsid w:val="66F127F8"/>
    <w:rsid w:val="67D54A10"/>
    <w:rsid w:val="692505BA"/>
    <w:rsid w:val="69B84F50"/>
    <w:rsid w:val="6AB26742"/>
    <w:rsid w:val="6ABB660F"/>
    <w:rsid w:val="6C3C3625"/>
    <w:rsid w:val="6D3A657B"/>
    <w:rsid w:val="6D7A7229"/>
    <w:rsid w:val="6F287254"/>
    <w:rsid w:val="701006A2"/>
    <w:rsid w:val="71BC51D1"/>
    <w:rsid w:val="73040AD5"/>
    <w:rsid w:val="740D2B46"/>
    <w:rsid w:val="74480157"/>
    <w:rsid w:val="74907806"/>
    <w:rsid w:val="76050C77"/>
    <w:rsid w:val="76570935"/>
    <w:rsid w:val="7816767D"/>
    <w:rsid w:val="78B84295"/>
    <w:rsid w:val="7969778E"/>
    <w:rsid w:val="7AE1082E"/>
    <w:rsid w:val="7DB67916"/>
    <w:rsid w:val="7E834C54"/>
    <w:rsid w:val="7F390F10"/>
    <w:rsid w:val="7FC64A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jc w:val="left"/>
      <w:textAlignment w:val="baseline"/>
    </w:pPr>
    <w:rPr>
      <w:rFonts w:ascii="Arial" w:hAnsi="Arial" w:eastAsia="黑体" w:cs="Arial"/>
      <w:b/>
      <w:snapToGrid w:val="0"/>
      <w:color w:val="000000"/>
      <w:kern w:val="0"/>
      <w:sz w:val="32"/>
      <w:szCs w:val="21"/>
      <w:lang w:val="en-US" w:eastAsia="en-US" w:bidi="ar-SA"/>
    </w:rPr>
  </w:style>
  <w:style w:type="paragraph" w:styleId="2">
    <w:name w:val="heading 1"/>
    <w:basedOn w:val="1"/>
    <w:next w:val="1"/>
    <w:qFormat/>
    <w:uiPriority w:val="0"/>
    <w:pPr>
      <w:keepNext/>
      <w:keepLines/>
      <w:spacing w:beforeLines="0" w:beforeAutospacing="0" w:afterLines="0" w:afterAutospacing="0" w:line="240" w:lineRule="auto"/>
      <w:outlineLvl w:val="0"/>
    </w:pPr>
    <w:rPr>
      <w:rFonts w:ascii="Arial" w:hAnsi="Arial" w:eastAsia="黑体"/>
      <w:kern w:val="44"/>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楷体"/>
      <w:sz w:val="28"/>
    </w:rPr>
  </w:style>
  <w:style w:type="paragraph" w:styleId="4">
    <w:name w:val="heading 3"/>
    <w:basedOn w:val="1"/>
    <w:next w:val="1"/>
    <w:unhideWhenUsed/>
    <w:qFormat/>
    <w:uiPriority w:val="0"/>
    <w:pPr>
      <w:spacing w:before="240" w:beforeLines="100" w:after="120" w:afterLines="50" w:line="240" w:lineRule="auto"/>
      <w:ind w:firstLine="482" w:firstLineChars="200"/>
      <w:outlineLvl w:val="2"/>
    </w:pPr>
    <w:rPr>
      <w:bCs/>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0"/>
    <w:rPr>
      <w:rFonts w:ascii="仿宋" w:hAnsi="仿宋" w:eastAsia="仿宋" w:cs="仿宋"/>
      <w:sz w:val="31"/>
      <w:szCs w:val="31"/>
      <w:lang w:val="en-US" w:eastAsia="en-US" w:bidi="ar-SA"/>
    </w:rPr>
  </w:style>
  <w:style w:type="paragraph" w:styleId="6">
    <w:name w:val="footer"/>
    <w:qFormat/>
    <w:uiPriority w:val="0"/>
    <w:pPr>
      <w:widowControl w:val="0"/>
      <w:tabs>
        <w:tab w:val="center" w:pos="4153"/>
        <w:tab w:val="right" w:pos="8306"/>
      </w:tabs>
      <w:adjustRightInd w:val="0"/>
      <w:spacing w:after="0" w:line="288" w:lineRule="auto"/>
    </w:pPr>
    <w:rPr>
      <w:rFonts w:ascii="Calibri" w:hAnsi="Calibri" w:eastAsia="宋体" w:cs="Times New Roman"/>
      <w:kern w:val="2"/>
      <w:sz w:val="18"/>
      <w:szCs w:val="18"/>
      <w:lang w:val="en-US" w:eastAsia="zh-CN" w:bidi="ar-SA"/>
      <w14:ligatures w14:val="none"/>
    </w:rPr>
  </w:style>
  <w:style w:type="paragraph" w:styleId="7">
    <w:name w:val="toc 1"/>
    <w:basedOn w:val="1"/>
    <w:next w:val="1"/>
    <w:unhideWhenUsed/>
    <w:qFormat/>
    <w:uiPriority w:val="39"/>
    <w:pPr>
      <w:tabs>
        <w:tab w:val="right" w:leader="dot" w:pos="9016"/>
      </w:tabs>
      <w:spacing w:line="360" w:lineRule="auto"/>
    </w:pPr>
    <w:rPr>
      <w:rFonts w:eastAsia="仿宋"/>
      <w:bCs/>
      <w:sz w:val="24"/>
    </w:rPr>
  </w:style>
  <w:style w:type="paragraph" w:styleId="8">
    <w:name w:val="toc 2"/>
    <w:basedOn w:val="1"/>
    <w:next w:val="1"/>
    <w:unhideWhenUsed/>
    <w:qFormat/>
    <w:uiPriority w:val="39"/>
    <w:pPr>
      <w:spacing w:line="360" w:lineRule="auto"/>
      <w:ind w:left="420" w:leftChars="200"/>
    </w:pPr>
    <w:rPr>
      <w:rFonts w:eastAsia="仿宋"/>
      <w:b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Text"/>
    <w:basedOn w:val="1"/>
    <w:semiHidden/>
    <w:qFormat/>
    <w:uiPriority w:val="0"/>
    <w:rPr>
      <w:rFonts w:ascii="Arial" w:hAnsi="Arial" w:eastAsia="Arial" w:cs="Arial"/>
      <w:sz w:val="21"/>
      <w:szCs w:val="21"/>
      <w:lang w:val="en-US" w:eastAsia="en-US" w:bidi="ar-SA"/>
    </w:rPr>
  </w:style>
  <w:style w:type="character" w:customStyle="1" w:styleId="16">
    <w:name w:val="font21"/>
    <w:basedOn w:val="11"/>
    <w:qFormat/>
    <w:uiPriority w:val="0"/>
    <w:rPr>
      <w:rFonts w:ascii="宋体" w:hAnsi="宋体" w:eastAsia="宋体" w:cs="宋体"/>
      <w:color w:val="000000"/>
      <w:sz w:val="36"/>
      <w:szCs w:val="36"/>
      <w:u w:val="none"/>
    </w:rPr>
  </w:style>
  <w:style w:type="character" w:customStyle="1" w:styleId="17">
    <w:name w:val="font31"/>
    <w:basedOn w:val="11"/>
    <w:qFormat/>
    <w:uiPriority w:val="0"/>
    <w:rPr>
      <w:rFonts w:ascii="Arial" w:hAnsi="Arial" w:cs="Arial"/>
      <w:color w:val="000000"/>
      <w:sz w:val="13"/>
      <w:szCs w:val="13"/>
      <w:u w:val="none"/>
    </w:rPr>
  </w:style>
  <w:style w:type="character" w:customStyle="1" w:styleId="18">
    <w:name w:val="font41"/>
    <w:basedOn w:val="11"/>
    <w:qFormat/>
    <w:uiPriority w:val="0"/>
    <w:rPr>
      <w:rFonts w:hint="default" w:ascii="Arial" w:hAnsi="Arial" w:cs="Arial"/>
      <w:color w:val="000000"/>
      <w:sz w:val="15"/>
      <w:szCs w:val="15"/>
      <w:u w:val="none"/>
    </w:rPr>
  </w:style>
  <w:style w:type="character" w:customStyle="1" w:styleId="19">
    <w:name w:val="font01"/>
    <w:basedOn w:val="11"/>
    <w:qFormat/>
    <w:uiPriority w:val="0"/>
    <w:rPr>
      <w:rFonts w:hint="eastAsia" w:ascii="宋体" w:hAnsi="宋体" w:eastAsia="宋体" w:cs="宋体"/>
      <w:color w:val="000000"/>
      <w:sz w:val="22"/>
      <w:szCs w:val="22"/>
      <w:u w:val="none"/>
    </w:rPr>
  </w:style>
  <w:style w:type="character" w:customStyle="1" w:styleId="20">
    <w:name w:val="font51"/>
    <w:basedOn w:val="11"/>
    <w:qFormat/>
    <w:uiPriority w:val="0"/>
    <w:rPr>
      <w:rFonts w:ascii="微软雅黑" w:hAnsi="微软雅黑" w:eastAsia="微软雅黑" w:cs="微软雅黑"/>
      <w:color w:val="000000"/>
      <w:sz w:val="22"/>
      <w:szCs w:val="22"/>
      <w:u w:val="none"/>
    </w:rPr>
  </w:style>
  <w:style w:type="character" w:customStyle="1" w:styleId="21">
    <w:name w:val="font11"/>
    <w:basedOn w:val="11"/>
    <w:qFormat/>
    <w:uiPriority w:val="0"/>
    <w:rPr>
      <w:rFonts w:hint="eastAsia" w:ascii="宋体" w:hAnsi="宋体" w:eastAsia="宋体" w:cs="宋体"/>
      <w:b/>
      <w:bCs/>
      <w:color w:val="000000"/>
      <w:sz w:val="22"/>
      <w:szCs w:val="22"/>
      <w:u w:val="none"/>
    </w:rPr>
  </w:style>
  <w:style w:type="character" w:customStyle="1" w:styleId="22">
    <w:name w:val="font61"/>
    <w:basedOn w:val="11"/>
    <w:qFormat/>
    <w:uiPriority w:val="0"/>
    <w:rPr>
      <w:rFonts w:hint="eastAsia" w:ascii="微软雅黑" w:hAnsi="微软雅黑" w:eastAsia="微软雅黑" w:cs="微软雅黑"/>
      <w:b/>
      <w:bCs/>
      <w:color w:val="000000"/>
      <w:sz w:val="22"/>
      <w:szCs w:val="22"/>
      <w:u w:val="none"/>
    </w:rPr>
  </w:style>
  <w:style w:type="character" w:customStyle="1" w:styleId="23">
    <w:name w:val="font121"/>
    <w:basedOn w:val="11"/>
    <w:qFormat/>
    <w:uiPriority w:val="0"/>
    <w:rPr>
      <w:rFonts w:hint="default" w:ascii="Arial" w:hAnsi="Arial" w:cs="Arial"/>
      <w:color w:val="000000"/>
      <w:sz w:val="22"/>
      <w:szCs w:val="22"/>
      <w:u w:val="none"/>
    </w:rPr>
  </w:style>
  <w:style w:type="character" w:customStyle="1" w:styleId="24">
    <w:name w:val="font71"/>
    <w:basedOn w:val="11"/>
    <w:qFormat/>
    <w:uiPriority w:val="0"/>
    <w:rPr>
      <w:rFonts w:hint="eastAsia" w:ascii="微软雅黑" w:hAnsi="微软雅黑" w:eastAsia="微软雅黑" w:cs="微软雅黑"/>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59b58a4b-3128-4f5e-b858-c8880bcc3c0a</errorID>
      <errorWord>辨证</errorWord>
      <group>L1_Word</group>
      <groupName>字词问题</groupName>
      <ability>L2_Typo</ability>
      <abilityName>字词错误</abilityName>
      <candidateList>
        <item>辩证</item>
      </candidateList>
      <explain>❶〈动〉辨析考证：反复～。也作辨证。❷〈形〉合乎辩证法的：～关系｜～的统一。</explain>
      <paraID>1AA99129</paraID>
      <start>68</start>
      <end>70</end>
      <status>ignored</status>
      <modifiedWord/>
      <trackRevisions>false</trackRevisions>
    </reviewItem>
    <reviewItem>
      <errorID>ec52a771-4eb7-4aab-b7de-049a7ba86934</errorID>
      <errorWord>、</errorWord>
      <group>L1_Punc</group>
      <groupName>标点问题</groupName>
      <ability>L2_Punc</ability>
      <abilityName>标点符号检查</abilityName>
      <candidateList/>
      <explain/>
      <paraID>421D94ED</paraID>
      <start>0</start>
      <end>1</end>
      <status>unmodified</status>
      <modifiedWord/>
      <trackRevisions>false</trackRevisions>
    </reviewItem>
    <reviewItem>
      <errorID>668be870-a0ac-4e1d-bd3e-8ba36153a4c9</errorID>
      <errorWord>海姆立克</errorWord>
      <group>L1_Knowledge</group>
      <groupName>知识性问题</groupName>
      <ability>L2_Term</ability>
      <abilityName>专业术语</abilityName>
      <candidateList>
        <item>海姆利希</item>
      </candidateList>
      <explain>医学名词[海姆立克]为不规范表述或旧称，其规范书面表述为[海姆利希]。</explain>
      <paraID>780BAA2D</paraID>
      <start>0</start>
      <end>4</end>
      <status>unmodified</status>
      <modifiedWord/>
      <trackRevisions>false</trackRevisions>
    </reviewItem>
    <reviewItem>
      <errorID>15031a0a-42d4-4213-9583-01a0f0181501</errorID>
      <errorWord>海姆立克</errorWord>
      <group>L1_Knowledge</group>
      <groupName>知识性问题</groupName>
      <ability>L2_Term</ability>
      <abilityName>专业术语</abilityName>
      <candidateList>
        <item>海姆利希</item>
      </candidateList>
      <explain>医学名词[海姆立克]为不规范表述或旧称，其规范书面表述为[海姆利希]。</explain>
      <paraID> AC45729</paraID>
      <start>0</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ec5977-ce0d-4058-ba0f-fa6198e1eccc}">
  <ds:schemaRefs/>
</ds:datastoreItem>
</file>

<file path=docProps/app.xml><?xml version="1.0" encoding="utf-8"?>
<Properties xmlns="http://schemas.openxmlformats.org/officeDocument/2006/extended-properties" xmlns:vt="http://schemas.openxmlformats.org/officeDocument/2006/docPropsVTypes">
  <Pages>49</Pages>
  <Words>1003</Words>
  <Characters>1070</Characters>
  <TotalTime>27</TotalTime>
  <ScaleCrop>false</ScaleCrop>
  <LinksUpToDate>false</LinksUpToDate>
  <CharactersWithSpaces>1158</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2024-04-07T14:36:00Z</dcterms:created>
  <dc:creator>超级管理员</dc:creator>
  <cp:lastModifiedBy>佳佳</cp:lastModifiedBy>
  <cp:lastPrinted>2025-05-27T06:35:00Z</cp:lastPrinted>
  <dcterms:modified xsi:type="dcterms:W3CDTF">2026-06-23T02:17:41Z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2024-06-08T19:19:09Z</vt:filetime>
  </property>
  <property fmtid="{D5CDD505-2E9C-101B-9397-08002B2CF9AE}" pid="4" name="KSOTemplateDocerSaveRecord">
    <vt:lpwstr>eyJoZGlkIjoiYTg1MjFlMWJjOGQxNmJkNzE5ZDI3YTE0MDE0Njk5YTkiLCJ1c2VySWQiOiI0MzE5MzI2NDQifQ==</vt:lpwstr>
  </property>
  <property fmtid="{D5CDD505-2E9C-101B-9397-08002B2CF9AE}" pid="5" name="KSOProductBuildVer">
    <vt:lpwstr>2052-12.1.0.26375</vt:lpwstr>
  </property>
  <property fmtid="{D5CDD505-2E9C-101B-9397-08002B2CF9AE}" pid="6" name="ICV">
    <vt:lpwstr>2A5CCAB5E40F4F969DCFA82B5C593944_13</vt:lpwstr>
  </property>
</Properties>
</file>