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46F31" w14:textId="77777777" w:rsidR="00FF04A3" w:rsidRDefault="00000000">
      <w:pPr>
        <w:widowControl/>
        <w:jc w:val="center"/>
        <w:rPr>
          <w:rFonts w:ascii="宋体" w:eastAsia="宋体" w:hAnsi="宋体" w:cs="Times New Roman"/>
          <w:bCs/>
          <w:kern w:val="0"/>
          <w:sz w:val="36"/>
          <w:szCs w:val="36"/>
        </w:rPr>
      </w:pPr>
      <w:r>
        <w:rPr>
          <w:rFonts w:ascii="宋体" w:eastAsia="宋体" w:hAnsi="宋体" w:cs="Times New Roman" w:hint="eastAsia"/>
          <w:bCs/>
          <w:kern w:val="0"/>
          <w:sz w:val="36"/>
          <w:szCs w:val="36"/>
        </w:rPr>
        <w:t>2023年全省职业院校学生技能大赛</w:t>
      </w:r>
    </w:p>
    <w:p w14:paraId="56BA762D" w14:textId="14BA86DA" w:rsidR="00FF04A3" w:rsidRDefault="00000000">
      <w:pPr>
        <w:widowControl/>
        <w:spacing w:line="360" w:lineRule="auto"/>
        <w:jc w:val="center"/>
        <w:rPr>
          <w:rFonts w:ascii="宋体" w:eastAsia="宋体" w:hAnsi="宋体" w:cs="Times New Roman"/>
          <w:bCs/>
          <w:kern w:val="0"/>
          <w:sz w:val="36"/>
          <w:szCs w:val="36"/>
        </w:rPr>
      </w:pPr>
      <w:r>
        <w:rPr>
          <w:rFonts w:ascii="宋体" w:eastAsia="宋体" w:hAnsi="宋体" w:cs="Times New Roman" w:hint="eastAsia"/>
          <w:bCs/>
          <w:kern w:val="0"/>
          <w:sz w:val="36"/>
          <w:szCs w:val="36"/>
        </w:rPr>
        <w:t>用药指导</w:t>
      </w:r>
      <w:r w:rsidR="00F52577">
        <w:rPr>
          <w:rFonts w:ascii="宋体" w:eastAsia="宋体" w:hAnsi="宋体" w:cs="Times New Roman" w:hint="eastAsia"/>
          <w:bCs/>
          <w:kern w:val="0"/>
          <w:sz w:val="36"/>
          <w:szCs w:val="36"/>
        </w:rPr>
        <w:t>技能</w:t>
      </w:r>
      <w:r>
        <w:rPr>
          <w:rFonts w:ascii="宋体" w:eastAsia="宋体" w:hAnsi="宋体" w:cs="Times New Roman" w:hint="eastAsia"/>
          <w:bCs/>
          <w:kern w:val="0"/>
          <w:sz w:val="36"/>
          <w:szCs w:val="36"/>
        </w:rPr>
        <w:t>赛项情境咨询病例参考</w:t>
      </w:r>
    </w:p>
    <w:p w14:paraId="4A549236" w14:textId="77777777" w:rsidR="00FF04A3" w:rsidRDefault="00000000">
      <w:pPr>
        <w:widowControl/>
        <w:spacing w:line="360" w:lineRule="auto"/>
        <w:jc w:val="center"/>
        <w:rPr>
          <w:rFonts w:ascii="宋体" w:eastAsia="宋体" w:hAnsi="宋体" w:cs="Times New Roman"/>
          <w:bCs/>
          <w:kern w:val="0"/>
          <w:sz w:val="36"/>
          <w:szCs w:val="36"/>
        </w:rPr>
      </w:pPr>
      <w:r>
        <w:rPr>
          <w:rFonts w:ascii="宋体" w:eastAsia="宋体" w:hAnsi="宋体" w:cs="Times New Roman" w:hint="eastAsia"/>
          <w:bCs/>
          <w:kern w:val="0"/>
          <w:sz w:val="36"/>
          <w:szCs w:val="36"/>
        </w:rPr>
        <w:t>试题1</w:t>
      </w:r>
    </w:p>
    <w:p w14:paraId="2979F0BE" w14:textId="77777777" w:rsidR="00FF04A3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1.患者，男，53岁。缺铁性贫血。医嘱：（1）琥珀酸亚铁片（0.1g）口服，每日3次，每次2片。（2）维生素C片（0.1g）口服，每日3次，每次2片。</w:t>
      </w:r>
    </w:p>
    <w:p w14:paraId="46157BAB" w14:textId="77777777" w:rsidR="00FF04A3" w:rsidRDefault="00FF04A3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4136365F" w14:textId="77777777" w:rsidR="00FF04A3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2.患者，男，30岁。肺炎。医嘱：（1）阿莫西林胶囊（0.25g）口服，每日3次，每次2粒。（2）布洛芬缓释片（0.3g）口服，每日2次，每次2片。</w:t>
      </w:r>
    </w:p>
    <w:p w14:paraId="57D0BFE3" w14:textId="77777777" w:rsidR="00FF04A3" w:rsidRDefault="00FF04A3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7E5E5E73" w14:textId="77777777" w:rsidR="00FF04A3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3.患者，女，24岁。湿疹。医嘱：（1）氯雷他定片（10mg×6片），口服，每日1次，每次1片。（2）糠酸莫米松乳膏（5mg:5g），外用，适量，每日1次。</w:t>
      </w:r>
    </w:p>
    <w:p w14:paraId="055A4CB4" w14:textId="77777777" w:rsidR="00FF04A3" w:rsidRDefault="00FF04A3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743D50A8" w14:textId="77777777" w:rsidR="00FF04A3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4.患者，女，40岁。甲状腺机能亢进症。医嘱：（1）他巴唑（10mg×50），口服，每日2次，每次2片。（2）普萘洛尔片（10mg×100），口服，每日3次，每次1片。</w:t>
      </w:r>
    </w:p>
    <w:p w14:paraId="6F4C30DE" w14:textId="77777777" w:rsidR="00FF04A3" w:rsidRDefault="00FF04A3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58FBADF5" w14:textId="77777777" w:rsidR="00FF04A3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5.患者，女，45岁。2型糖尿病（肥胖型）。医嘱：盐酸二甲双胍片（0.25g×48），口服，一次0.5g，每日2次，随餐服用。</w:t>
      </w:r>
    </w:p>
    <w:p w14:paraId="4A4D6CD7" w14:textId="77777777" w:rsidR="00FF04A3" w:rsidRDefault="00FF04A3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17554FF8" w14:textId="77777777" w:rsidR="00FF04A3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6.患者，男，35岁。过敏性休克。医嘱：1%肾上腺素注射液（1ml×1），用法：0.5ml，皮下注射，立即！</w:t>
      </w:r>
    </w:p>
    <w:p w14:paraId="3EE9AB18" w14:textId="77777777" w:rsidR="00FF04A3" w:rsidRDefault="00FF04A3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255594EE" w14:textId="77777777" w:rsidR="00FF04A3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7.患者，女，62岁。变异型心绞痛。医嘱：维拉帕米缓释片（0.24g）口服，每日1次，每次1片。</w:t>
      </w:r>
    </w:p>
    <w:p w14:paraId="5F3F46CD" w14:textId="77777777" w:rsidR="00FF04A3" w:rsidRDefault="00FF04A3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198C063C" w14:textId="77777777" w:rsidR="00FF04A3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8.患者，男，31岁。癫痫。医嘱：苯妥英钠片（0.1g）口服，每日2次，每次1片。</w:t>
      </w:r>
    </w:p>
    <w:p w14:paraId="2BD7E485" w14:textId="77777777" w:rsidR="00FF04A3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9.患者，女，74岁。心功能不全。医嘱：（1）富马酸比索洛尔片（ 2.5mg）口服，每日1次，每次1片。（2）呋塞米片 （20mg）口服，每日2次，每次1片。</w:t>
      </w:r>
    </w:p>
    <w:p w14:paraId="1466890D" w14:textId="77777777" w:rsidR="00FF04A3" w:rsidRDefault="00FF04A3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3CA47D2F" w14:textId="77777777" w:rsidR="00FF04A3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10.患者，女，19岁。上呼吸道感染。医嘱：（1）999感冒灵颗粒（14g）口服，每日3次，每次1袋。（2）阿奇霉素片（0.25g）口服，每日1次，每次2片。</w:t>
      </w:r>
    </w:p>
    <w:p w14:paraId="0D63362A" w14:textId="77777777" w:rsidR="00FF04A3" w:rsidRDefault="00FF04A3">
      <w:pPr>
        <w:widowControl/>
        <w:spacing w:line="360" w:lineRule="auto"/>
        <w:rPr>
          <w:rFonts w:ascii="仿宋" w:eastAsia="仿宋" w:hAnsi="仿宋" w:cs="仿宋"/>
        </w:rPr>
      </w:pPr>
    </w:p>
    <w:p w14:paraId="3221A4AD" w14:textId="77777777" w:rsidR="00FF04A3" w:rsidRDefault="00FF04A3">
      <w:pPr>
        <w:widowControl/>
        <w:spacing w:line="360" w:lineRule="auto"/>
        <w:rPr>
          <w:rFonts w:ascii="仿宋" w:eastAsia="仿宋" w:hAnsi="仿宋" w:cs="仿宋"/>
        </w:rPr>
      </w:pPr>
    </w:p>
    <w:p w14:paraId="4FB75C42" w14:textId="77777777" w:rsidR="00FF04A3" w:rsidRDefault="00FF04A3"/>
    <w:sectPr w:rsidR="00FF04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NmYWE2NTJjOTkwMjgxNDZhNWEyNmNkMzdiNjljNGIifQ=="/>
  </w:docVars>
  <w:rsids>
    <w:rsidRoot w:val="00FF04A3"/>
    <w:rsid w:val="00F52577"/>
    <w:rsid w:val="00FF04A3"/>
    <w:rsid w:val="17B80A6F"/>
    <w:rsid w:val="1E51503E"/>
    <w:rsid w:val="2F785968"/>
    <w:rsid w:val="559E6D5D"/>
    <w:rsid w:val="6B350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D560C3"/>
  <w15:docId w15:val="{E5FF820C-6235-4E0D-8974-9DC20A007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Cuier</dc:creator>
  <cp:lastModifiedBy>韩 洛奇</cp:lastModifiedBy>
  <cp:revision>2</cp:revision>
  <dcterms:created xsi:type="dcterms:W3CDTF">2023-03-07T14:04:00Z</dcterms:created>
  <dcterms:modified xsi:type="dcterms:W3CDTF">2023-03-08T01:53:00Z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2052-11.1.0.13020</vt:lpwstr>
  </property>
  <property fmtid="{D5CDD505-2E9C-101B-9397-08002B2CF9AE}" pid="3" name="ICV">
    <vt:lpwstr>181C844632784DC89B4A498D687040F7</vt:lpwstr>
  </property>
</Properties>
</file>