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省职业院校技能大赛中药传统技能赛项D套试题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D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山药炮制成麸炒山药。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g黄芪炮制成炙黄芪。</w:t>
      </w: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7140"/>
        </w:tabs>
        <w:ind w:firstLine="560" w:firstLineChars="200"/>
        <w:rPr>
          <w:sz w:val="28"/>
          <w:szCs w:val="32"/>
        </w:rPr>
      </w:pPr>
      <w:r>
        <w:rPr>
          <w:sz w:val="28"/>
          <w:szCs w:val="32"/>
        </w:rPr>
        <w:tab/>
      </w: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5145"/>
        </w:tabs>
        <w:rPr>
          <w:sz w:val="28"/>
          <w:szCs w:val="32"/>
        </w:rPr>
      </w:pPr>
      <w:r>
        <w:rPr>
          <w:sz w:val="28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b4725f58-d9b7-4df3-991d-47f6307fd068"/>
  </w:docVars>
  <w:rsids>
    <w:rsidRoot w:val="00B81502"/>
    <w:rsid w:val="00027D15"/>
    <w:rsid w:val="00033BB4"/>
    <w:rsid w:val="002F7E3A"/>
    <w:rsid w:val="003C300A"/>
    <w:rsid w:val="00470425"/>
    <w:rsid w:val="00487DEC"/>
    <w:rsid w:val="005B578C"/>
    <w:rsid w:val="005E6B63"/>
    <w:rsid w:val="006F4DE0"/>
    <w:rsid w:val="006F7BA5"/>
    <w:rsid w:val="00793453"/>
    <w:rsid w:val="00861417"/>
    <w:rsid w:val="009C027D"/>
    <w:rsid w:val="00A557BE"/>
    <w:rsid w:val="00AA7E1C"/>
    <w:rsid w:val="00B81502"/>
    <w:rsid w:val="00BF52FC"/>
    <w:rsid w:val="00D64613"/>
    <w:rsid w:val="00DA3042"/>
    <w:rsid w:val="00DA6ADE"/>
    <w:rsid w:val="00FE0229"/>
    <w:rsid w:val="06157D51"/>
    <w:rsid w:val="6E6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2023-03-14T13:15:56Z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A3732C73F9B04A5D8F596C8B3E2C8A58</vt:lpwstr>
  </property>
</Properties>
</file>